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iagrams/colors1.xml" ContentType="application/vnd.openxmlformats-officedocument.drawingml.diagramColors+xml"/>
  <Override PartName="/word/diagrams/data1.xml" ContentType="application/vnd.openxmlformats-officedocument.drawingml.diagramData+xml"/>
  <Override PartName="/word/diagrams/drawing1.xml" ContentType="application/vnd.ms-office.drawingml.diagramDrawing+xml"/>
  <Override PartName="/word/diagrams/layout1.xml" ContentType="application/vnd.openxmlformats-officedocument.drawingml.diagramLayout+xml"/>
  <Override PartName="/word/diagrams/quickStyle1.xml" ContentType="application/vnd.openxmlformats-officedocument.drawingml.diagramStyle+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BD43ECF">
      <w:pPr>
        <w:widowControl/>
        <w:kinsoku w:val="0"/>
        <w:autoSpaceDE w:val="0"/>
        <w:autoSpaceDN w:val="0"/>
        <w:adjustRightInd w:val="0"/>
        <w:snapToGrid w:val="0"/>
        <w:spacing w:before="167" w:line="233" w:lineRule="auto"/>
        <w:ind w:left="0" w:leftChars="0" w:firstLine="0" w:firstLineChars="0"/>
        <w:jc w:val="center"/>
        <w:textAlignment w:val="baseline"/>
        <w:rPr>
          <w:rFonts w:hint="eastAsia" w:ascii="方正小标宋简体" w:hAnsi="方正小标宋简体" w:eastAsia="方正小标宋简体" w:cs="方正小标宋简体"/>
          <w:snapToGrid w:val="0"/>
          <w:color w:val="000000"/>
          <w:spacing w:val="7"/>
          <w:kern w:val="0"/>
          <w:sz w:val="43"/>
          <w:szCs w:val="43"/>
          <w:lang w:val="en-US" w:eastAsia="zh-CN"/>
        </w:rPr>
      </w:pPr>
      <w:r>
        <w:rPr>
          <w:rFonts w:ascii="方正小标宋简体" w:hAnsi="方正小标宋简体" w:eastAsia="方正小标宋简体" w:cs="方正小标宋简体"/>
          <w:snapToGrid w:val="0"/>
          <w:color w:val="000000"/>
          <w:spacing w:val="7"/>
          <w:kern w:val="0"/>
          <w:sz w:val="43"/>
          <w:szCs w:val="43"/>
          <w:lang w:eastAsia="en-US"/>
        </w:rPr>
        <w:t>2026</w:t>
      </w:r>
      <w:r>
        <w:rPr>
          <w:rFonts w:hint="eastAsia" w:ascii="方正小标宋简体" w:hAnsi="方正小标宋简体" w:eastAsia="方正小标宋简体" w:cs="方正小标宋简体"/>
          <w:snapToGrid w:val="0"/>
          <w:color w:val="000000"/>
          <w:spacing w:val="7"/>
          <w:kern w:val="0"/>
          <w:sz w:val="43"/>
          <w:szCs w:val="43"/>
          <w:lang w:val="en-US" w:eastAsia="zh-CN"/>
        </w:rPr>
        <w:t>年唐山市中等职业学校技能大赛</w:t>
      </w:r>
    </w:p>
    <w:p w14:paraId="09E346A0">
      <w:pPr>
        <w:widowControl/>
        <w:kinsoku w:val="0"/>
        <w:autoSpaceDE w:val="0"/>
        <w:autoSpaceDN w:val="0"/>
        <w:adjustRightInd w:val="0"/>
        <w:snapToGrid w:val="0"/>
        <w:spacing w:before="167" w:line="233" w:lineRule="auto"/>
        <w:ind w:left="0" w:leftChars="0" w:firstLine="0" w:firstLineChars="0"/>
        <w:jc w:val="center"/>
        <w:textAlignment w:val="baseline"/>
        <w:rPr>
          <w:rFonts w:ascii="方正小标宋简体" w:hAnsi="方正小标宋简体" w:eastAsia="方正小标宋简体" w:cs="方正小标宋简体"/>
          <w:snapToGrid w:val="0"/>
          <w:color w:val="000000"/>
          <w:spacing w:val="7"/>
          <w:kern w:val="0"/>
          <w:sz w:val="43"/>
          <w:szCs w:val="43"/>
          <w:lang w:eastAsia="en-US"/>
        </w:rPr>
      </w:pPr>
      <w:r>
        <w:rPr>
          <w:rFonts w:ascii="方正小标宋简体" w:hAnsi="方正小标宋简体" w:eastAsia="方正小标宋简体" w:cs="方正小标宋简体"/>
          <w:snapToGrid w:val="0"/>
          <w:color w:val="000000"/>
          <w:spacing w:val="7"/>
          <w:kern w:val="0"/>
          <w:sz w:val="43"/>
          <w:szCs w:val="43"/>
          <w:lang w:eastAsia="en-US"/>
        </w:rPr>
        <w:t>智能制造设备技术应用赛项规程</w:t>
      </w:r>
    </w:p>
    <w:p w14:paraId="212C0E0F">
      <w:pPr>
        <w:spacing w:line="480" w:lineRule="exact"/>
        <w:ind w:firstLine="600" w:firstLineChars="200"/>
        <w:contextualSpacing/>
        <w:jc w:val="left"/>
        <w:rPr>
          <w:rFonts w:hint="eastAsia" w:ascii="黑体" w:hAnsi="黑体" w:eastAsia="黑体" w:cs="黑体"/>
          <w:b w:val="0"/>
          <w:bCs/>
          <w:sz w:val="30"/>
          <w:szCs w:val="30"/>
          <w:lang w:eastAsia="zh-CN"/>
        </w:rPr>
      </w:pPr>
      <w:r>
        <w:rPr>
          <w:rFonts w:hint="eastAsia" w:ascii="黑体" w:hAnsi="黑体" w:eastAsia="黑体" w:cs="黑体"/>
          <w:b w:val="0"/>
          <w:bCs/>
          <w:sz w:val="30"/>
          <w:szCs w:val="30"/>
          <w:lang w:eastAsia="zh-CN"/>
        </w:rPr>
        <w:t>一、赛项名称</w:t>
      </w:r>
    </w:p>
    <w:p w14:paraId="76560CD4">
      <w:pPr>
        <w:pStyle w:val="4"/>
        <w:keepNext w:val="0"/>
        <w:keepLines w:val="0"/>
        <w:pageBreakBefore w:val="0"/>
        <w:widowControl w:val="0"/>
        <w:kinsoku/>
        <w:wordWrap/>
        <w:overflowPunct/>
        <w:topLinePunct w:val="0"/>
        <w:autoSpaceDE/>
        <w:autoSpaceDN/>
        <w:bidi w:val="0"/>
        <w:adjustRightInd/>
        <w:snapToGrid/>
        <w:spacing w:line="520" w:lineRule="exact"/>
        <w:ind w:right="0" w:firstLine="551"/>
        <w:jc w:val="both"/>
        <w:textAlignment w:val="auto"/>
        <w:rPr>
          <w:rFonts w:hint="eastAsia" w:ascii="仿宋" w:hAnsi="仿宋" w:eastAsia="仿宋_GB2312" w:cs="Times New Roman"/>
          <w:kern w:val="2"/>
          <w:sz w:val="28"/>
          <w:szCs w:val="21"/>
          <w:lang w:val="en-US" w:eastAsia="zh-CN" w:bidi="ar-SA"/>
        </w:rPr>
      </w:pPr>
      <w:r>
        <w:rPr>
          <w:rFonts w:hint="eastAsia" w:ascii="仿宋" w:hAnsi="仿宋" w:eastAsia="仿宋_GB2312" w:cs="Times New Roman"/>
          <w:kern w:val="2"/>
          <w:sz w:val="28"/>
          <w:szCs w:val="21"/>
          <w:lang w:val="en-US" w:eastAsia="zh-CN" w:bidi="ar-SA"/>
        </w:rPr>
        <w:t>赛项名称：智能制造设备技术应用</w:t>
      </w:r>
    </w:p>
    <w:p w14:paraId="759C3896">
      <w:pPr>
        <w:pStyle w:val="4"/>
        <w:keepNext w:val="0"/>
        <w:keepLines w:val="0"/>
        <w:pageBreakBefore w:val="0"/>
        <w:widowControl w:val="0"/>
        <w:kinsoku/>
        <w:wordWrap/>
        <w:overflowPunct/>
        <w:topLinePunct w:val="0"/>
        <w:autoSpaceDE/>
        <w:autoSpaceDN/>
        <w:bidi w:val="0"/>
        <w:adjustRightInd/>
        <w:snapToGrid/>
        <w:spacing w:line="520" w:lineRule="exact"/>
        <w:ind w:right="0" w:firstLine="551"/>
        <w:jc w:val="both"/>
        <w:textAlignment w:val="auto"/>
        <w:rPr>
          <w:rFonts w:hint="eastAsia" w:ascii="仿宋" w:hAnsi="仿宋" w:eastAsia="仿宋_GB2312" w:cs="Times New Roman"/>
          <w:kern w:val="2"/>
          <w:sz w:val="28"/>
          <w:szCs w:val="21"/>
          <w:lang w:val="en-US" w:eastAsia="zh-CN" w:bidi="ar-SA"/>
        </w:rPr>
      </w:pPr>
      <w:r>
        <w:rPr>
          <w:rFonts w:hint="eastAsia" w:ascii="仿宋" w:hAnsi="仿宋" w:eastAsia="仿宋_GB2312" w:cs="Times New Roman"/>
          <w:kern w:val="2"/>
          <w:sz w:val="28"/>
          <w:szCs w:val="21"/>
          <w:lang w:val="en-US" w:eastAsia="zh-CN" w:bidi="ar-SA"/>
        </w:rPr>
        <w:t>赛项组别：中职组</w:t>
      </w:r>
    </w:p>
    <w:p w14:paraId="3EE8A70E">
      <w:pPr>
        <w:pStyle w:val="4"/>
        <w:keepNext w:val="0"/>
        <w:keepLines w:val="0"/>
        <w:pageBreakBefore w:val="0"/>
        <w:widowControl w:val="0"/>
        <w:kinsoku/>
        <w:wordWrap/>
        <w:overflowPunct/>
        <w:topLinePunct w:val="0"/>
        <w:autoSpaceDE/>
        <w:autoSpaceDN/>
        <w:bidi w:val="0"/>
        <w:adjustRightInd/>
        <w:snapToGrid/>
        <w:spacing w:line="520" w:lineRule="exact"/>
        <w:ind w:right="0" w:firstLine="551"/>
        <w:jc w:val="both"/>
        <w:textAlignment w:val="auto"/>
        <w:rPr>
          <w:rFonts w:hint="eastAsia" w:ascii="仿宋" w:hAnsi="仿宋" w:eastAsia="仿宋_GB2312" w:cs="Times New Roman"/>
          <w:kern w:val="2"/>
          <w:sz w:val="28"/>
          <w:szCs w:val="21"/>
          <w:lang w:val="en-US" w:eastAsia="zh-CN" w:bidi="ar-SA"/>
        </w:rPr>
      </w:pPr>
      <w:r>
        <w:rPr>
          <w:rFonts w:hint="eastAsia" w:ascii="仿宋" w:hAnsi="仿宋" w:eastAsia="仿宋_GB2312" w:cs="Times New Roman"/>
          <w:kern w:val="2"/>
          <w:sz w:val="28"/>
          <w:szCs w:val="21"/>
          <w:lang w:val="en-US" w:eastAsia="zh-CN" w:bidi="ar-SA"/>
        </w:rPr>
        <w:t>赛项归属：装备制造大类</w:t>
      </w:r>
    </w:p>
    <w:p w14:paraId="58498713">
      <w:pPr>
        <w:spacing w:line="480" w:lineRule="exact"/>
        <w:ind w:firstLine="600" w:firstLineChars="200"/>
        <w:contextualSpacing/>
        <w:jc w:val="left"/>
        <w:rPr>
          <w:rFonts w:hint="eastAsia" w:ascii="黑体" w:hAnsi="黑体" w:eastAsia="黑体" w:cs="黑体"/>
          <w:b w:val="0"/>
          <w:bCs/>
          <w:sz w:val="30"/>
          <w:szCs w:val="30"/>
          <w:lang w:eastAsia="zh-CN"/>
        </w:rPr>
      </w:pPr>
      <w:r>
        <w:rPr>
          <w:rFonts w:hint="eastAsia" w:ascii="黑体" w:hAnsi="黑体" w:eastAsia="黑体" w:cs="黑体"/>
          <w:b w:val="0"/>
          <w:bCs/>
          <w:sz w:val="30"/>
          <w:szCs w:val="30"/>
          <w:lang w:eastAsia="zh-CN"/>
        </w:rPr>
        <w:t>二、竞赛目的</w:t>
      </w:r>
    </w:p>
    <w:p w14:paraId="20CF2B67">
      <w:pPr>
        <w:pStyle w:val="4"/>
        <w:keepNext w:val="0"/>
        <w:keepLines w:val="0"/>
        <w:pageBreakBefore w:val="0"/>
        <w:widowControl w:val="0"/>
        <w:kinsoku/>
        <w:wordWrap/>
        <w:overflowPunct/>
        <w:topLinePunct w:val="0"/>
        <w:autoSpaceDE/>
        <w:autoSpaceDN/>
        <w:bidi w:val="0"/>
        <w:adjustRightInd/>
        <w:snapToGrid/>
        <w:spacing w:before="80" w:line="520" w:lineRule="exact"/>
        <w:ind w:right="13" w:firstLine="551"/>
        <w:jc w:val="both"/>
        <w:textAlignment w:val="auto"/>
        <w:rPr>
          <w:rFonts w:hint="eastAsia" w:ascii="仿宋" w:hAnsi="仿宋" w:eastAsia="仿宋_GB2312" w:cs="Times New Roman"/>
          <w:kern w:val="2"/>
          <w:sz w:val="28"/>
          <w:szCs w:val="21"/>
          <w:lang w:val="en-US" w:eastAsia="zh-CN" w:bidi="ar-SA"/>
        </w:rPr>
      </w:pPr>
      <w:r>
        <w:rPr>
          <w:rFonts w:hint="eastAsia" w:ascii="仿宋" w:hAnsi="仿宋" w:eastAsia="仿宋_GB2312" w:cs="Times New Roman"/>
          <w:kern w:val="2"/>
          <w:sz w:val="28"/>
          <w:szCs w:val="21"/>
          <w:lang w:val="en-US" w:eastAsia="zh-CN" w:bidi="ar-SA"/>
        </w:rPr>
        <w:t>为贯彻党的二十大报告“推进新型工业化，加快建设制造强国”和国家“十四五”规划“推动制造业高端化、智能化、绿色化”等文件精神，适应高端装备制造产业数字化、网络化、智能化发展新趋势，对接新产业、新业态、新模式下高端装备制造业高质量发展对技术技能人才需求，遵循“提升职业院校师生技术技能水平、培育工匠精神”的设赛宗旨，按照《全国职业院校技能大赛执行规划（2023—2027年）》相关要求，制订“智能制造设备技术应用”赛项规程。</w:t>
      </w:r>
    </w:p>
    <w:p w14:paraId="718D98FB">
      <w:pPr>
        <w:pStyle w:val="4"/>
        <w:keepNext w:val="0"/>
        <w:keepLines w:val="0"/>
        <w:pageBreakBefore w:val="0"/>
        <w:widowControl w:val="0"/>
        <w:kinsoku/>
        <w:wordWrap/>
        <w:overflowPunct/>
        <w:topLinePunct w:val="0"/>
        <w:autoSpaceDE/>
        <w:autoSpaceDN/>
        <w:bidi w:val="0"/>
        <w:adjustRightInd/>
        <w:snapToGrid/>
        <w:spacing w:before="11" w:line="520" w:lineRule="exact"/>
        <w:ind w:left="4" w:right="67" w:firstLine="533"/>
        <w:textAlignment w:val="auto"/>
        <w:rPr>
          <w:rFonts w:hint="eastAsia" w:ascii="仿宋" w:hAnsi="仿宋" w:eastAsia="仿宋_GB2312" w:cs="Times New Roman"/>
          <w:kern w:val="2"/>
          <w:sz w:val="28"/>
          <w:szCs w:val="21"/>
          <w:lang w:val="en-US" w:eastAsia="zh-CN" w:bidi="ar-SA"/>
        </w:rPr>
      </w:pPr>
      <w:r>
        <w:rPr>
          <w:rFonts w:hint="eastAsia" w:ascii="仿宋" w:hAnsi="仿宋" w:eastAsia="仿宋_GB2312" w:cs="Times New Roman"/>
          <w:kern w:val="2"/>
          <w:sz w:val="28"/>
          <w:szCs w:val="21"/>
          <w:lang w:val="en-US" w:eastAsia="zh-CN" w:bidi="ar-SA"/>
        </w:rPr>
        <w:t>赛项内容精准对接高端装备制造业高质量发展对技能人才的需求，将工业机器人系统操作、工业机器人系统运维、智能制造设备运维、电气系统安装与调试、机械设备修理等岗位相关工作任务核心技能点进行了精心提炼与教学转化，对标工业机器人系统操作员、工业机器人系统运维员、智能制造工程技术人员等国家职业技能标准，对照工业机器人操作与运维、智能制造系统集成应用等职业技能等级标准，紧密衔接自动化类和机电设备类相关专业教学标准，有利于引导相关专业建设和教学改革，促进“岗课赛证”融通、科教融汇、育训合一和考核评价方式的提升，推进以学生为主体的理实一体化教学实践，提高职业素养、弘扬工匠精神，从而提高人才培养质量。</w:t>
      </w:r>
    </w:p>
    <w:p w14:paraId="28953CBF">
      <w:pPr>
        <w:spacing w:line="480" w:lineRule="exact"/>
        <w:ind w:firstLine="600" w:firstLineChars="200"/>
        <w:contextualSpacing/>
        <w:jc w:val="left"/>
        <w:rPr>
          <w:rFonts w:hint="eastAsia" w:ascii="黑体" w:hAnsi="黑体" w:eastAsia="黑体" w:cs="黑体"/>
          <w:b w:val="0"/>
          <w:bCs/>
          <w:sz w:val="30"/>
          <w:szCs w:val="30"/>
          <w:lang w:eastAsia="zh-CN"/>
        </w:rPr>
      </w:pPr>
      <w:r>
        <w:rPr>
          <w:rFonts w:hint="eastAsia" w:ascii="黑体" w:hAnsi="黑体" w:eastAsia="黑体" w:cs="黑体"/>
          <w:b w:val="0"/>
          <w:bCs/>
          <w:sz w:val="30"/>
          <w:szCs w:val="30"/>
          <w:lang w:eastAsia="zh-CN"/>
        </w:rPr>
        <w:t>三、竞赛内容及要求</w:t>
      </w:r>
    </w:p>
    <w:p w14:paraId="12CB2F53">
      <w:pPr>
        <w:pStyle w:val="4"/>
        <w:keepNext w:val="0"/>
        <w:keepLines w:val="0"/>
        <w:pageBreakBefore w:val="0"/>
        <w:widowControl w:val="0"/>
        <w:kinsoku/>
        <w:wordWrap/>
        <w:overflowPunct/>
        <w:topLinePunct w:val="0"/>
        <w:autoSpaceDE/>
        <w:autoSpaceDN/>
        <w:bidi w:val="0"/>
        <w:adjustRightInd/>
        <w:snapToGrid/>
        <w:spacing w:line="520" w:lineRule="exact"/>
        <w:ind w:right="13" w:firstLine="551"/>
        <w:jc w:val="both"/>
        <w:textAlignment w:val="auto"/>
        <w:rPr>
          <w:rFonts w:hint="eastAsia" w:ascii="仿宋" w:hAnsi="仿宋" w:eastAsia="仿宋_GB2312" w:cs="Times New Roman"/>
          <w:kern w:val="2"/>
          <w:sz w:val="28"/>
          <w:szCs w:val="21"/>
          <w:lang w:val="en-US" w:eastAsia="zh-CN" w:bidi="ar-SA"/>
        </w:rPr>
      </w:pPr>
      <w:r>
        <w:rPr>
          <w:rFonts w:hint="eastAsia" w:ascii="仿宋" w:hAnsi="仿宋" w:eastAsia="仿宋_GB2312" w:cs="Times New Roman"/>
          <w:kern w:val="2"/>
          <w:sz w:val="28"/>
          <w:szCs w:val="21"/>
          <w:lang w:val="en-US" w:eastAsia="zh-CN" w:bidi="ar-SA"/>
        </w:rPr>
        <w:t>赛项以工业机器人为核心单元，融合了工具快换、可编程逻辑控制器（PLC）、气动驱动、传感器、智能视觉检测、人机交互终端（HMI）等先进应用技术，以工业机器人在计算机/通讯/消费类电子产品行业（3C行业）中最典型的异形芯片插件工序为应用背景，涵盖了工业机器人系统的机械及电气装调、维护维修以及典型的涂胶、码垛、分拣、装配等工作任务在内的考核内容，重点考查选手工业机器人系统的安装、编程、调试、维护、维修等专业能力和团队协作、质量控制、安全意识等职业素养，以及选手的综合职业能力。</w:t>
      </w:r>
    </w:p>
    <w:p w14:paraId="53C2EC25">
      <w:pPr>
        <w:pStyle w:val="4"/>
        <w:keepNext w:val="0"/>
        <w:keepLines w:val="0"/>
        <w:pageBreakBefore w:val="0"/>
        <w:widowControl w:val="0"/>
        <w:kinsoku/>
        <w:wordWrap/>
        <w:overflowPunct/>
        <w:topLinePunct w:val="0"/>
        <w:autoSpaceDE/>
        <w:autoSpaceDN/>
        <w:bidi w:val="0"/>
        <w:adjustRightInd/>
        <w:snapToGrid/>
        <w:spacing w:line="520" w:lineRule="exact"/>
        <w:ind w:right="13" w:firstLine="551"/>
        <w:jc w:val="both"/>
        <w:textAlignment w:val="auto"/>
        <w:rPr>
          <w:rFonts w:hint="eastAsia" w:ascii="仿宋" w:hAnsi="仿宋" w:eastAsia="仿宋_GB2312" w:cs="Times New Roman"/>
          <w:kern w:val="2"/>
          <w:sz w:val="28"/>
          <w:szCs w:val="21"/>
          <w:lang w:val="en-US" w:eastAsia="zh-CN" w:bidi="ar-SA"/>
        </w:rPr>
      </w:pPr>
      <w:r>
        <w:rPr>
          <w:rFonts w:hint="eastAsia" w:ascii="仿宋" w:hAnsi="仿宋" w:eastAsia="仿宋_GB2312" w:cs="Times New Roman"/>
          <w:kern w:val="2"/>
          <w:sz w:val="28"/>
          <w:szCs w:val="21"/>
          <w:lang w:val="en-US" w:eastAsia="zh-CN" w:bidi="ar-SA"/>
        </w:rPr>
        <w:t>学生组赛项采取团队比赛方式，为双人赛；教师组采取个体比赛方式进行，为单人赛，根据竞赛时发给的工作任务书，在2小时内完成如下竞赛任务内容。</w:t>
      </w:r>
    </w:p>
    <w:p w14:paraId="44FCE6FC">
      <w:pPr>
        <w:keepNext w:val="0"/>
        <w:keepLines w:val="0"/>
        <w:pageBreakBefore w:val="0"/>
        <w:widowControl w:val="0"/>
        <w:kinsoku/>
        <w:wordWrap/>
        <w:overflowPunct/>
        <w:topLinePunct w:val="0"/>
        <w:autoSpaceDE/>
        <w:autoSpaceDN/>
        <w:bidi w:val="0"/>
        <w:adjustRightInd/>
        <w:snapToGrid/>
        <w:spacing w:line="520" w:lineRule="exact"/>
        <w:ind w:left="0" w:leftChars="0" w:firstLine="0" w:firstLineChars="0"/>
        <w:textAlignment w:val="auto"/>
        <w:rPr>
          <w:rFonts w:hint="eastAsia"/>
        </w:rPr>
      </w:pPr>
      <w:r>
        <w:rPr>
          <w:rFonts w:hint="eastAsia"/>
        </w:rPr>
        <w:t>模块一智能制造设备安装与调试</w:t>
      </w:r>
    </w:p>
    <w:p w14:paraId="71FC747C">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rPr>
      </w:pPr>
      <w:r>
        <w:rPr>
          <w:rFonts w:hint="eastAsia"/>
        </w:rPr>
        <w:t>任务一智能制造设备的机械装调</w:t>
      </w:r>
    </w:p>
    <w:p w14:paraId="2134C441">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rPr>
      </w:pPr>
      <w:r>
        <w:rPr>
          <w:rFonts w:hint="eastAsia"/>
        </w:rPr>
        <w:t>按照系统生产布局，完成指定单元的机械安装、气路连接和调试。</w:t>
      </w:r>
    </w:p>
    <w:p w14:paraId="27466429">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rPr>
      </w:pPr>
      <w:r>
        <w:rPr>
          <w:rFonts w:hint="eastAsia"/>
        </w:rPr>
        <w:t>任务二智能制造设备的电气装调</w:t>
      </w:r>
    </w:p>
    <w:p w14:paraId="56F4D1B1">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rPr>
      </w:pPr>
      <w:r>
        <w:rPr>
          <w:rFonts w:hint="eastAsia"/>
        </w:rPr>
        <w:t>完成智能制造设备指定单元的电气连接和调试。</w:t>
      </w:r>
    </w:p>
    <w:p w14:paraId="6A532F22">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rPr>
      </w:pPr>
      <w:r>
        <w:rPr>
          <w:rFonts w:hint="eastAsia"/>
        </w:rPr>
        <w:t>任务三智能制造设备的建模仿真</w:t>
      </w:r>
    </w:p>
    <w:p w14:paraId="3BC0FA81">
      <w:pPr>
        <w:keepNext w:val="0"/>
        <w:keepLines w:val="0"/>
        <w:pageBreakBefore w:val="0"/>
        <w:widowControl w:val="0"/>
        <w:kinsoku/>
        <w:wordWrap/>
        <w:overflowPunct/>
        <w:topLinePunct w:val="0"/>
        <w:autoSpaceDE/>
        <w:autoSpaceDN/>
        <w:bidi w:val="0"/>
        <w:adjustRightInd/>
        <w:snapToGrid/>
        <w:spacing w:line="520" w:lineRule="exact"/>
        <w:ind w:left="0" w:leftChars="0" w:firstLine="0" w:firstLineChars="0"/>
        <w:textAlignment w:val="auto"/>
        <w:rPr>
          <w:rFonts w:hint="eastAsia"/>
        </w:rPr>
      </w:pPr>
      <w:r>
        <w:rPr>
          <w:rFonts w:hint="eastAsia"/>
        </w:rPr>
        <w:t>模块二智能制造设备的维护及维修</w:t>
      </w:r>
    </w:p>
    <w:p w14:paraId="7F4B4B5D">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rPr>
      </w:pPr>
      <w:r>
        <w:rPr>
          <w:rFonts w:hint="eastAsia"/>
        </w:rPr>
        <w:t>任务一智能制造设备维修测试</w:t>
      </w:r>
    </w:p>
    <w:p w14:paraId="0E7F3EBF">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rPr>
      </w:pPr>
      <w:r>
        <w:rPr>
          <w:rFonts w:hint="eastAsia"/>
        </w:rPr>
        <w:t>完成机器人的零点标定、</w:t>
      </w:r>
      <w:r>
        <w:rPr>
          <w:rFonts w:hint="eastAsia"/>
          <w:lang w:val="en-US" w:eastAsia="zh-CN"/>
        </w:rPr>
        <w:t>工具、工件坐标系的建立</w:t>
      </w:r>
      <w:r>
        <w:rPr>
          <w:rFonts w:hint="eastAsia"/>
        </w:rPr>
        <w:t>等。</w:t>
      </w:r>
    </w:p>
    <w:p w14:paraId="32FA3506">
      <w:pPr>
        <w:keepNext w:val="0"/>
        <w:keepLines w:val="0"/>
        <w:pageBreakBefore w:val="0"/>
        <w:widowControl w:val="0"/>
        <w:kinsoku/>
        <w:wordWrap/>
        <w:overflowPunct/>
        <w:topLinePunct w:val="0"/>
        <w:autoSpaceDE/>
        <w:autoSpaceDN/>
        <w:bidi w:val="0"/>
        <w:adjustRightInd/>
        <w:snapToGrid/>
        <w:spacing w:line="520" w:lineRule="exact"/>
        <w:ind w:left="0" w:leftChars="0" w:firstLine="0" w:firstLineChars="0"/>
        <w:textAlignment w:val="auto"/>
        <w:rPr>
          <w:rFonts w:hint="eastAsia"/>
        </w:rPr>
      </w:pPr>
      <w:r>
        <w:rPr>
          <w:rFonts w:hint="eastAsia"/>
        </w:rPr>
        <w:t>模块三智能制造设备的程序编制与</w:t>
      </w:r>
      <w:r>
        <w:rPr>
          <w:rFonts w:hint="eastAsia"/>
          <w:lang w:val="en-US" w:eastAsia="zh-CN"/>
        </w:rPr>
        <w:t>运</w:t>
      </w:r>
      <w:r>
        <w:rPr>
          <w:rFonts w:hint="eastAsia"/>
        </w:rPr>
        <w:t>行</w:t>
      </w:r>
    </w:p>
    <w:p w14:paraId="6B6AE654">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rPr>
      </w:pPr>
      <w:r>
        <w:rPr>
          <w:rFonts w:hint="eastAsia"/>
        </w:rPr>
        <w:t>任务一产品涂胶</w:t>
      </w:r>
    </w:p>
    <w:p w14:paraId="40E95BD3">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rPr>
      </w:pPr>
      <w:r>
        <w:rPr>
          <w:rFonts w:hint="eastAsia"/>
        </w:rPr>
        <w:t>编写工业机器人程序、PLC程序，完成触摸屏设计，完成产品的基础涂胶、定制涂胶工艺流程</w:t>
      </w:r>
    </w:p>
    <w:p w14:paraId="4C44ACF5">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rPr>
      </w:pPr>
      <w:r>
        <w:rPr>
          <w:rFonts w:hint="eastAsia"/>
        </w:rPr>
        <w:t>任务二产品码垛</w:t>
      </w:r>
    </w:p>
    <w:p w14:paraId="06F56130">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rPr>
      </w:pPr>
      <w:r>
        <w:rPr>
          <w:rFonts w:hint="eastAsia"/>
        </w:rPr>
        <w:t>编写工业机器人程序、PLC程序，完成触摸屏设计，完成产品的基础码垛、定制码垛工艺流程。</w:t>
      </w:r>
    </w:p>
    <w:p w14:paraId="05B5FE41">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rPr>
      </w:pPr>
      <w:r>
        <w:rPr>
          <w:rFonts w:hint="eastAsia"/>
        </w:rPr>
        <w:t>任务三产品零部件装配与仓储</w:t>
      </w:r>
    </w:p>
    <w:p w14:paraId="6A19374D">
      <w:pPr>
        <w:pStyle w:val="4"/>
        <w:keepNext w:val="0"/>
        <w:keepLines w:val="0"/>
        <w:pageBreakBefore w:val="0"/>
        <w:widowControl w:val="0"/>
        <w:kinsoku/>
        <w:wordWrap/>
        <w:overflowPunct/>
        <w:topLinePunct w:val="0"/>
        <w:autoSpaceDE/>
        <w:autoSpaceDN/>
        <w:bidi w:val="0"/>
        <w:adjustRightInd/>
        <w:snapToGrid/>
        <w:spacing w:line="520" w:lineRule="exact"/>
        <w:ind w:right="13" w:firstLine="551"/>
        <w:jc w:val="both"/>
        <w:textAlignment w:val="auto"/>
        <w:rPr>
          <w:rFonts w:hint="eastAsia" w:ascii="仿宋" w:hAnsi="仿宋" w:eastAsia="仿宋_GB2312" w:cs="Times New Roman"/>
          <w:kern w:val="2"/>
          <w:sz w:val="28"/>
          <w:szCs w:val="21"/>
          <w:lang w:val="en-US" w:eastAsia="zh-CN" w:bidi="ar-SA"/>
        </w:rPr>
      </w:pPr>
      <w:r>
        <w:rPr>
          <w:rFonts w:hint="eastAsia"/>
        </w:rPr>
        <w:t>根据任务完成一套柔性加工装配智能制造设备的安装调试，需要完成PLC</w:t>
      </w:r>
      <w:r>
        <w:rPr>
          <w:rFonts w:hint="eastAsia" w:ascii="仿宋" w:hAnsi="仿宋" w:eastAsia="仿宋_GB2312" w:cs="Times New Roman"/>
          <w:kern w:val="2"/>
          <w:sz w:val="28"/>
          <w:szCs w:val="21"/>
          <w:lang w:val="en-US" w:eastAsia="zh-CN" w:bidi="ar-SA"/>
        </w:rPr>
        <w:t>、触摸屏、视觉及工业机器人程序编写与调试，实现产品零件检测、装配、加盖、螺丝锁固及出入库任务。</w:t>
      </w:r>
    </w:p>
    <w:p w14:paraId="730A8CAD">
      <w:pPr>
        <w:pStyle w:val="4"/>
        <w:keepNext w:val="0"/>
        <w:keepLines w:val="0"/>
        <w:pageBreakBefore w:val="0"/>
        <w:widowControl w:val="0"/>
        <w:kinsoku/>
        <w:wordWrap/>
        <w:overflowPunct/>
        <w:topLinePunct w:val="0"/>
        <w:autoSpaceDE/>
        <w:autoSpaceDN/>
        <w:bidi w:val="0"/>
        <w:adjustRightInd/>
        <w:snapToGrid/>
        <w:spacing w:line="520" w:lineRule="exact"/>
        <w:ind w:right="13" w:firstLine="551"/>
        <w:jc w:val="both"/>
        <w:textAlignment w:val="auto"/>
        <w:rPr>
          <w:rFonts w:hint="eastAsia" w:ascii="仿宋" w:hAnsi="仿宋" w:eastAsia="仿宋_GB2312" w:cs="Times New Roman"/>
          <w:kern w:val="2"/>
          <w:sz w:val="28"/>
          <w:szCs w:val="21"/>
          <w:lang w:val="en-US" w:eastAsia="zh-CN" w:bidi="ar-SA"/>
        </w:rPr>
      </w:pPr>
      <w:r>
        <w:rPr>
          <w:rFonts w:hint="eastAsia" w:ascii="仿宋" w:hAnsi="仿宋" w:eastAsia="仿宋_GB2312" w:cs="Times New Roman"/>
          <w:kern w:val="2"/>
          <w:sz w:val="28"/>
          <w:szCs w:val="21"/>
          <w:lang w:val="en-US" w:eastAsia="zh-CN" w:bidi="ar-SA"/>
        </w:rPr>
        <w:t>任务四产品生产优化与安全</w:t>
      </w:r>
    </w:p>
    <w:p w14:paraId="46058211">
      <w:pPr>
        <w:pStyle w:val="4"/>
        <w:keepNext w:val="0"/>
        <w:keepLines w:val="0"/>
        <w:pageBreakBefore w:val="0"/>
        <w:widowControl w:val="0"/>
        <w:kinsoku/>
        <w:wordWrap/>
        <w:overflowPunct/>
        <w:topLinePunct w:val="0"/>
        <w:autoSpaceDE/>
        <w:autoSpaceDN/>
        <w:bidi w:val="0"/>
        <w:adjustRightInd/>
        <w:snapToGrid/>
        <w:spacing w:line="520" w:lineRule="exact"/>
        <w:ind w:right="13" w:firstLine="551"/>
        <w:jc w:val="both"/>
        <w:textAlignment w:val="auto"/>
        <w:rPr>
          <w:rFonts w:hint="eastAsia" w:ascii="仿宋" w:hAnsi="仿宋" w:eastAsia="仿宋_GB2312" w:cs="Times New Roman"/>
          <w:kern w:val="2"/>
          <w:sz w:val="28"/>
          <w:szCs w:val="21"/>
          <w:lang w:val="en-US" w:eastAsia="zh-CN" w:bidi="ar-SA"/>
        </w:rPr>
      </w:pPr>
      <w:r>
        <w:rPr>
          <w:rFonts w:hint="eastAsia" w:ascii="仿宋" w:hAnsi="仿宋" w:eastAsia="仿宋_GB2312" w:cs="Times New Roman"/>
          <w:kern w:val="2"/>
          <w:sz w:val="28"/>
          <w:szCs w:val="21"/>
          <w:lang w:val="en-US" w:eastAsia="zh-CN" w:bidi="ar-SA"/>
        </w:rPr>
        <w:t>对智能制造设备的工艺流程、生产效率进行优化，实现全自动化生产。根据使用安全要求开发检测光栅和急停报警功能。</w:t>
      </w:r>
    </w:p>
    <w:p w14:paraId="14F6F37E">
      <w:pPr>
        <w:pStyle w:val="4"/>
        <w:keepNext w:val="0"/>
        <w:keepLines w:val="0"/>
        <w:pageBreakBefore w:val="0"/>
        <w:widowControl w:val="0"/>
        <w:kinsoku/>
        <w:wordWrap/>
        <w:overflowPunct/>
        <w:topLinePunct w:val="0"/>
        <w:autoSpaceDE/>
        <w:autoSpaceDN/>
        <w:bidi w:val="0"/>
        <w:adjustRightInd/>
        <w:snapToGrid/>
        <w:spacing w:line="520" w:lineRule="exact"/>
        <w:ind w:right="13" w:firstLine="551"/>
        <w:jc w:val="both"/>
        <w:textAlignment w:val="auto"/>
        <w:rPr>
          <w:rFonts w:hint="eastAsia" w:ascii="仿宋" w:hAnsi="仿宋" w:eastAsia="仿宋_GB2312" w:cs="Times New Roman"/>
          <w:kern w:val="2"/>
          <w:sz w:val="28"/>
          <w:szCs w:val="21"/>
          <w:lang w:val="en-US" w:eastAsia="zh-CN" w:bidi="ar-SA"/>
        </w:rPr>
      </w:pPr>
      <w:r>
        <w:rPr>
          <w:rFonts w:hint="eastAsia" w:ascii="仿宋" w:hAnsi="仿宋" w:eastAsia="仿宋_GB2312" w:cs="Times New Roman"/>
          <w:kern w:val="2"/>
          <w:sz w:val="28"/>
          <w:szCs w:val="21"/>
          <w:lang w:val="en-US" w:eastAsia="zh-CN" w:bidi="ar-SA"/>
        </w:rPr>
        <w:t>模块四职业素养</w:t>
      </w:r>
    </w:p>
    <w:p w14:paraId="5C55F0DD">
      <w:pPr>
        <w:pStyle w:val="4"/>
        <w:keepNext w:val="0"/>
        <w:keepLines w:val="0"/>
        <w:pageBreakBefore w:val="0"/>
        <w:widowControl w:val="0"/>
        <w:kinsoku/>
        <w:wordWrap/>
        <w:overflowPunct/>
        <w:topLinePunct w:val="0"/>
        <w:autoSpaceDE/>
        <w:autoSpaceDN/>
        <w:bidi w:val="0"/>
        <w:adjustRightInd/>
        <w:snapToGrid/>
        <w:spacing w:line="520" w:lineRule="exact"/>
        <w:ind w:right="13" w:firstLine="551"/>
        <w:jc w:val="both"/>
        <w:textAlignment w:val="auto"/>
        <w:rPr>
          <w:rFonts w:hint="eastAsia" w:ascii="仿宋" w:hAnsi="仿宋" w:eastAsia="仿宋_GB2312" w:cs="Times New Roman"/>
          <w:kern w:val="2"/>
          <w:sz w:val="28"/>
          <w:szCs w:val="21"/>
          <w:lang w:val="en-US" w:eastAsia="zh-CN" w:bidi="ar-SA"/>
        </w:rPr>
      </w:pPr>
      <w:r>
        <w:rPr>
          <w:rFonts w:hint="eastAsia" w:ascii="仿宋" w:hAnsi="仿宋" w:eastAsia="仿宋_GB2312" w:cs="Times New Roman"/>
          <w:kern w:val="2"/>
          <w:sz w:val="28"/>
          <w:szCs w:val="21"/>
          <w:lang w:val="en-US" w:eastAsia="zh-CN" w:bidi="ar-SA"/>
        </w:rPr>
        <w:t>竞赛过程中，对参赛选手的设备操作合理性、规范性，完成工业机器人系统的安装及调试过程中对耗材的合理使用，对专用工具及量具的操作，安全生产和操作的认识程度等进行综合评价。</w:t>
      </w:r>
    </w:p>
    <w:p w14:paraId="6E5C565F">
      <w:pPr>
        <w:spacing w:line="480" w:lineRule="exact"/>
        <w:ind w:firstLine="600" w:firstLineChars="200"/>
        <w:contextualSpacing/>
        <w:jc w:val="left"/>
        <w:rPr>
          <w:rFonts w:hint="eastAsia" w:ascii="黑体" w:hAnsi="黑体" w:eastAsia="黑体" w:cs="黑体"/>
          <w:b w:val="0"/>
          <w:bCs/>
          <w:sz w:val="30"/>
          <w:szCs w:val="30"/>
          <w:lang w:val="en-US" w:eastAsia="zh-CN"/>
        </w:rPr>
      </w:pPr>
      <w:r>
        <w:rPr>
          <w:rFonts w:hint="eastAsia" w:ascii="黑体" w:hAnsi="黑体" w:eastAsia="黑体" w:cs="黑体"/>
          <w:b w:val="0"/>
          <w:bCs/>
          <w:sz w:val="30"/>
          <w:szCs w:val="30"/>
          <w:lang w:val="en-US" w:eastAsia="zh-CN"/>
        </w:rPr>
        <w:t>四、竞赛方式</w:t>
      </w:r>
    </w:p>
    <w:p w14:paraId="2863BB63">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lang w:val="en-US" w:eastAsia="zh-CN"/>
        </w:rPr>
      </w:pPr>
      <w:r>
        <w:rPr>
          <w:rFonts w:hint="eastAsia"/>
        </w:rPr>
        <w:t>（一）参赛选手：</w:t>
      </w:r>
      <w:r>
        <w:rPr>
          <w:rFonts w:hint="eastAsia"/>
          <w:lang w:val="en-US" w:eastAsia="zh-CN"/>
        </w:rPr>
        <w:t>学生</w:t>
      </w:r>
      <w:r>
        <w:rPr>
          <w:rFonts w:hint="eastAsia"/>
        </w:rPr>
        <w:t>竞赛</w:t>
      </w:r>
      <w:r>
        <w:rPr>
          <w:rFonts w:hint="eastAsia"/>
          <w:lang w:val="en-US" w:eastAsia="zh-CN"/>
        </w:rPr>
        <w:t>每</w:t>
      </w:r>
      <w:r>
        <w:rPr>
          <w:rFonts w:hint="eastAsia"/>
        </w:rPr>
        <w:t>参赛队</w:t>
      </w:r>
      <w:r>
        <w:rPr>
          <w:rFonts w:hint="eastAsia"/>
          <w:lang w:val="en-US" w:eastAsia="zh-CN"/>
        </w:rPr>
        <w:t>2</w:t>
      </w:r>
      <w:r>
        <w:rPr>
          <w:rFonts w:hint="eastAsia"/>
        </w:rPr>
        <w:t>名选手，参赛选手</w:t>
      </w:r>
      <w:r>
        <w:rPr>
          <w:rFonts w:hint="eastAsia"/>
          <w:lang w:eastAsia="zh-CN"/>
        </w:rPr>
        <w:t>应为</w:t>
      </w:r>
      <w:r>
        <w:rPr>
          <w:rFonts w:hint="eastAsia"/>
        </w:rPr>
        <w:t>唐山市中等职业学校（含技工类学校）在籍学生</w:t>
      </w:r>
      <w:r>
        <w:rPr>
          <w:rFonts w:hint="eastAsia"/>
          <w:lang w:eastAsia="zh-CN"/>
        </w:rPr>
        <w:t>，“</w:t>
      </w:r>
      <w:r>
        <w:rPr>
          <w:rFonts w:hint="eastAsia"/>
          <w:lang w:val="en-US" w:eastAsia="zh-CN"/>
        </w:rPr>
        <w:t>3+2”“3+4”等贯通培养项目仅限</w:t>
      </w:r>
      <w:r>
        <w:rPr>
          <w:rFonts w:hint="eastAsia"/>
          <w:lang w:eastAsia="zh-CN"/>
        </w:rPr>
        <w:t>中专段在籍生报名参加，技工院校仅限中级班参加</w:t>
      </w:r>
      <w:r>
        <w:rPr>
          <w:rFonts w:hint="eastAsia"/>
        </w:rPr>
        <w:t>。参赛资格以报名时相关主管部门学籍系统注册信息为准</w:t>
      </w:r>
      <w:r>
        <w:rPr>
          <w:rFonts w:hint="eastAsia"/>
          <w:lang w:eastAsia="zh-CN"/>
        </w:rPr>
        <w:t>；</w:t>
      </w:r>
      <w:r>
        <w:rPr>
          <w:rFonts w:hint="eastAsia"/>
          <w:lang w:val="en-US" w:eastAsia="zh-CN"/>
        </w:rPr>
        <w:t>教师竞赛每参赛队1名选手，</w:t>
      </w:r>
      <w:r>
        <w:rPr>
          <w:rFonts w:hint="eastAsia"/>
        </w:rPr>
        <w:t>参赛选手应为学校专任教师，兼职教师不得参赛。</w:t>
      </w:r>
    </w:p>
    <w:p w14:paraId="7E615D99">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rPr>
      </w:pPr>
      <w:r>
        <w:rPr>
          <w:rFonts w:hint="eastAsia"/>
        </w:rPr>
        <w:t>（二）指导老师：</w:t>
      </w:r>
      <w:r>
        <w:rPr>
          <w:rFonts w:hint="eastAsia"/>
          <w:lang w:val="en-US" w:eastAsia="zh-CN"/>
        </w:rPr>
        <w:t>学生</w:t>
      </w:r>
      <w:r>
        <w:rPr>
          <w:rFonts w:hint="eastAsia"/>
        </w:rPr>
        <w:t>竞赛每队限报2名指导教师，指导教师须由本校实际指导选手训练的专、兼职教师担任，兼职教师需提供学校盖章的在职证明</w:t>
      </w:r>
      <w:r>
        <w:rPr>
          <w:rFonts w:hint="eastAsia"/>
          <w:lang w:eastAsia="zh-CN"/>
        </w:rPr>
        <w:t>，</w:t>
      </w:r>
      <w:r>
        <w:rPr>
          <w:rFonts w:hint="eastAsia"/>
          <w:lang w:val="en-US" w:eastAsia="zh-CN"/>
        </w:rPr>
        <w:t>教师赛不设指导教师</w:t>
      </w:r>
      <w:r>
        <w:rPr>
          <w:rFonts w:hint="eastAsia"/>
        </w:rPr>
        <w:t>。</w:t>
      </w:r>
    </w:p>
    <w:p w14:paraId="6FDC9D77">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rPr>
      </w:pPr>
      <w:r>
        <w:rPr>
          <w:rFonts w:hint="eastAsia"/>
        </w:rPr>
        <w:t>（三）其他要求：凡在全国（世界）职业院校技能大赛中</w:t>
      </w:r>
      <w:r>
        <w:rPr>
          <w:rFonts w:hint="eastAsia"/>
          <w:lang w:eastAsia="zh-CN"/>
        </w:rPr>
        <w:t>获得</w:t>
      </w:r>
      <w:r>
        <w:rPr>
          <w:rFonts w:hint="eastAsia"/>
        </w:rPr>
        <w:t>一等奖（金奖）的选手，不得再参加</w:t>
      </w:r>
      <w:r>
        <w:rPr>
          <w:rFonts w:hint="eastAsia"/>
          <w:lang w:val="en-US" w:eastAsia="zh-CN"/>
        </w:rPr>
        <w:t>该</w:t>
      </w:r>
      <w:r>
        <w:rPr>
          <w:rFonts w:hint="eastAsia"/>
        </w:rPr>
        <w:t>赛比赛。</w:t>
      </w:r>
      <w:r>
        <w:rPr>
          <w:rFonts w:hint="eastAsia"/>
          <w:lang w:val="en-US" w:eastAsia="zh-CN"/>
        </w:rPr>
        <w:t>每所学校学生队、教师队分别</w:t>
      </w:r>
      <w:r>
        <w:rPr>
          <w:rFonts w:hint="eastAsia"/>
        </w:rPr>
        <w:t>不超过2队，不得跨校组队，参赛院校原则上不得无故弃赛。</w:t>
      </w:r>
    </w:p>
    <w:p w14:paraId="4EDBA9E8">
      <w:pPr>
        <w:spacing w:line="480" w:lineRule="exact"/>
        <w:ind w:firstLine="600" w:firstLineChars="200"/>
        <w:contextualSpacing/>
        <w:jc w:val="left"/>
        <w:rPr>
          <w:rFonts w:hint="eastAsia" w:ascii="黑体" w:hAnsi="黑体" w:eastAsia="黑体" w:cs="黑体"/>
          <w:b w:val="0"/>
          <w:bCs/>
          <w:sz w:val="30"/>
          <w:szCs w:val="30"/>
          <w:lang w:eastAsia="zh-CN"/>
        </w:rPr>
      </w:pPr>
      <w:r>
        <w:rPr>
          <w:rFonts w:hint="eastAsia" w:ascii="黑体" w:hAnsi="黑体" w:eastAsia="黑体" w:cs="黑体"/>
          <w:b w:val="0"/>
          <w:bCs/>
          <w:sz w:val="30"/>
          <w:szCs w:val="30"/>
          <w:lang w:eastAsia="zh-CN"/>
        </w:rPr>
        <w:t>五、竞赛规则</w:t>
      </w:r>
    </w:p>
    <w:p w14:paraId="00576C5B">
      <w:pPr>
        <w:keepNext w:val="0"/>
        <w:keepLines w:val="0"/>
        <w:pageBreakBefore w:val="0"/>
        <w:widowControl w:val="0"/>
        <w:kinsoku/>
        <w:wordWrap/>
        <w:overflowPunct/>
        <w:topLinePunct w:val="0"/>
        <w:autoSpaceDE/>
        <w:autoSpaceDN/>
        <w:bidi w:val="0"/>
        <w:adjustRightInd/>
        <w:snapToGrid/>
        <w:spacing w:line="520" w:lineRule="exact"/>
        <w:ind w:firstLine="600"/>
        <w:contextualSpacing/>
        <w:textAlignment w:val="auto"/>
        <w:rPr>
          <w:rFonts w:hint="eastAsia" w:ascii="仿宋_GB2312" w:hAnsi="微软雅黑" w:eastAsia="仿宋_GB2312" w:cs="Arial"/>
          <w:kern w:val="0"/>
          <w:sz w:val="28"/>
          <w:szCs w:val="28"/>
        </w:rPr>
      </w:pPr>
      <w:r>
        <w:rPr>
          <w:rFonts w:hint="eastAsia" w:ascii="仿宋_GB2312" w:hAnsi="微软雅黑" w:eastAsia="仿宋_GB2312" w:cs="Arial"/>
          <w:kern w:val="0"/>
          <w:sz w:val="28"/>
          <w:szCs w:val="28"/>
        </w:rPr>
        <w:t>1</w:t>
      </w:r>
      <w:r>
        <w:rPr>
          <w:rFonts w:hint="eastAsia" w:ascii="仿宋_GB2312" w:hAnsi="微软雅黑" w:cs="Arial"/>
          <w:kern w:val="0"/>
          <w:sz w:val="28"/>
          <w:szCs w:val="28"/>
          <w:lang w:eastAsia="zh-CN"/>
        </w:rPr>
        <w:t>.</w:t>
      </w:r>
      <w:r>
        <w:rPr>
          <w:rFonts w:hint="eastAsia" w:ascii="仿宋_GB2312" w:hAnsi="微软雅黑" w:cs="Arial"/>
          <w:kern w:val="0"/>
          <w:sz w:val="28"/>
          <w:szCs w:val="28"/>
          <w:lang w:val="en-US" w:eastAsia="zh-CN"/>
        </w:rPr>
        <w:t>学生</w:t>
      </w:r>
      <w:r>
        <w:rPr>
          <w:rFonts w:hint="eastAsia" w:ascii="仿宋_GB2312" w:hAnsi="微软雅黑" w:eastAsia="仿宋_GB2312" w:cs="Arial"/>
          <w:kern w:val="0"/>
          <w:sz w:val="28"/>
          <w:szCs w:val="28"/>
        </w:rPr>
        <w:t>参赛选手必须持本人身份证、学生证</w:t>
      </w:r>
      <w:r>
        <w:rPr>
          <w:rFonts w:hint="eastAsia" w:ascii="仿宋_GB2312" w:hAnsi="微软雅黑" w:cs="Arial"/>
          <w:kern w:val="0"/>
          <w:sz w:val="28"/>
          <w:szCs w:val="28"/>
          <w:lang w:eastAsia="zh-CN"/>
        </w:rPr>
        <w:t>、</w:t>
      </w:r>
      <w:r>
        <w:rPr>
          <w:rFonts w:hint="eastAsia" w:ascii="仿宋_GB2312" w:hAnsi="微软雅黑" w:eastAsia="仿宋_GB2312" w:cs="Arial"/>
          <w:kern w:val="0"/>
          <w:sz w:val="28"/>
          <w:szCs w:val="28"/>
        </w:rPr>
        <w:t>参赛证</w:t>
      </w:r>
      <w:r>
        <w:rPr>
          <w:rFonts w:hint="eastAsia" w:ascii="仿宋_GB2312" w:hAnsi="微软雅黑" w:cs="Arial"/>
          <w:kern w:val="0"/>
          <w:sz w:val="28"/>
          <w:szCs w:val="28"/>
          <w:lang w:eastAsia="zh-CN"/>
        </w:rPr>
        <w:t>；</w:t>
      </w:r>
      <w:r>
        <w:rPr>
          <w:rFonts w:hint="eastAsia" w:ascii="仿宋_GB2312" w:hAnsi="微软雅黑" w:cs="Arial"/>
          <w:kern w:val="0"/>
          <w:sz w:val="28"/>
          <w:szCs w:val="28"/>
          <w:lang w:val="en-US" w:eastAsia="zh-CN"/>
        </w:rPr>
        <w:t>教师参赛选手必须持本人身份证、由学校出具的加盖公章的在校教师证明、参赛证，</w:t>
      </w:r>
      <w:r>
        <w:rPr>
          <w:rFonts w:hint="eastAsia" w:ascii="仿宋_GB2312" w:hAnsi="微软雅黑" w:eastAsia="仿宋_GB2312" w:cs="Arial"/>
          <w:kern w:val="0"/>
          <w:sz w:val="28"/>
          <w:szCs w:val="28"/>
        </w:rPr>
        <w:t>技能竞赛提前</w:t>
      </w:r>
      <w:r>
        <w:rPr>
          <w:rFonts w:hint="eastAsia" w:ascii="仿宋_GB2312" w:hAnsi="微软雅黑" w:cs="Arial"/>
          <w:kern w:val="0"/>
          <w:sz w:val="28"/>
          <w:szCs w:val="28"/>
          <w:lang w:val="en-US" w:eastAsia="zh-CN"/>
        </w:rPr>
        <w:t>60</w:t>
      </w:r>
      <w:r>
        <w:rPr>
          <w:rFonts w:hint="eastAsia" w:ascii="仿宋_GB2312" w:hAnsi="微软雅黑" w:eastAsia="仿宋_GB2312" w:cs="Arial"/>
          <w:kern w:val="0"/>
          <w:sz w:val="28"/>
          <w:szCs w:val="28"/>
        </w:rPr>
        <w:t>分钟到达比赛现场检录，迟到超过15分钟的选手，不得入场进行比赛</w:t>
      </w:r>
      <w:r>
        <w:rPr>
          <w:rFonts w:hint="eastAsia" w:ascii="仿宋_GB2312" w:hAnsi="微软雅黑" w:cs="Arial"/>
          <w:kern w:val="0"/>
          <w:sz w:val="28"/>
          <w:szCs w:val="28"/>
          <w:lang w:eastAsia="zh-CN"/>
        </w:rPr>
        <w:t>；</w:t>
      </w:r>
    </w:p>
    <w:p w14:paraId="28D5D6DB">
      <w:pPr>
        <w:keepNext w:val="0"/>
        <w:keepLines w:val="0"/>
        <w:pageBreakBefore w:val="0"/>
        <w:widowControl w:val="0"/>
        <w:kinsoku/>
        <w:wordWrap/>
        <w:overflowPunct/>
        <w:topLinePunct w:val="0"/>
        <w:autoSpaceDE/>
        <w:autoSpaceDN/>
        <w:bidi w:val="0"/>
        <w:adjustRightInd/>
        <w:snapToGrid/>
        <w:spacing w:line="520" w:lineRule="exact"/>
        <w:ind w:firstLine="600"/>
        <w:contextualSpacing/>
        <w:textAlignment w:val="auto"/>
        <w:rPr>
          <w:rFonts w:hint="default" w:ascii="仿宋_GB2312" w:hAnsi="微软雅黑" w:eastAsia="仿宋_GB2312" w:cs="Arial"/>
          <w:kern w:val="0"/>
          <w:sz w:val="28"/>
          <w:szCs w:val="28"/>
          <w:lang w:val="en-US" w:eastAsia="zh-CN"/>
        </w:rPr>
      </w:pPr>
      <w:r>
        <w:rPr>
          <w:rFonts w:hint="eastAsia" w:ascii="仿宋_GB2312" w:hAnsi="微软雅黑" w:eastAsia="仿宋_GB2312" w:cs="Arial"/>
          <w:kern w:val="0"/>
          <w:sz w:val="28"/>
          <w:szCs w:val="28"/>
        </w:rPr>
        <w:t>2</w:t>
      </w:r>
      <w:r>
        <w:rPr>
          <w:rFonts w:hint="eastAsia" w:ascii="仿宋_GB2312" w:hAnsi="微软雅黑" w:cs="Arial"/>
          <w:kern w:val="0"/>
          <w:sz w:val="28"/>
          <w:szCs w:val="28"/>
          <w:lang w:eastAsia="zh-CN"/>
        </w:rPr>
        <w:t>.</w:t>
      </w:r>
      <w:r>
        <w:rPr>
          <w:rFonts w:hint="eastAsia" w:ascii="仿宋_GB2312" w:hAnsi="微软雅黑" w:eastAsia="仿宋_GB2312" w:cs="Arial"/>
          <w:kern w:val="0"/>
          <w:sz w:val="28"/>
          <w:szCs w:val="28"/>
        </w:rPr>
        <w:t>所有通讯、照相、摄像、U盘、移动硬盘等工具一律不得带入竞赛现场，现场</w:t>
      </w:r>
      <w:r>
        <w:rPr>
          <w:rFonts w:hint="eastAsia" w:ascii="仿宋_GB2312" w:hAnsi="微软雅黑" w:cs="Arial"/>
          <w:kern w:val="0"/>
          <w:sz w:val="28"/>
          <w:szCs w:val="28"/>
          <w:lang w:val="en-US" w:eastAsia="zh-CN"/>
        </w:rPr>
        <w:t>比赛使用的工具自备</w:t>
      </w:r>
      <w:r>
        <w:rPr>
          <w:rFonts w:hint="eastAsia" w:ascii="仿宋_GB2312" w:hAnsi="微软雅黑" w:eastAsia="仿宋_GB2312" w:cs="Arial"/>
          <w:kern w:val="0"/>
          <w:sz w:val="28"/>
          <w:szCs w:val="28"/>
        </w:rPr>
        <w:t>，参赛选手不</w:t>
      </w:r>
      <w:r>
        <w:rPr>
          <w:rFonts w:hint="eastAsia" w:ascii="仿宋_GB2312" w:hAnsi="微软雅黑" w:cs="Arial"/>
          <w:kern w:val="0"/>
          <w:sz w:val="28"/>
          <w:szCs w:val="28"/>
          <w:lang w:val="en-US" w:eastAsia="zh-CN"/>
        </w:rPr>
        <w:t>能</w:t>
      </w:r>
      <w:r>
        <w:rPr>
          <w:rFonts w:hint="eastAsia" w:ascii="仿宋_GB2312" w:hAnsi="微软雅黑" w:eastAsia="仿宋_GB2312" w:cs="Arial"/>
          <w:kern w:val="0"/>
          <w:sz w:val="28"/>
          <w:szCs w:val="28"/>
        </w:rPr>
        <w:t>携带任何与比赛相关用品入场。竞赛中参赛选手不得自行相互借用工、量具等</w:t>
      </w:r>
      <w:r>
        <w:rPr>
          <w:rFonts w:hint="eastAsia" w:ascii="仿宋_GB2312" w:hAnsi="微软雅黑" w:cs="Arial"/>
          <w:kern w:val="0"/>
          <w:sz w:val="28"/>
          <w:szCs w:val="28"/>
          <w:lang w:eastAsia="zh-CN"/>
        </w:rPr>
        <w:t>，</w:t>
      </w:r>
      <w:r>
        <w:rPr>
          <w:rFonts w:hint="eastAsia" w:ascii="仿宋_GB2312" w:hAnsi="微软雅黑" w:cs="Arial"/>
          <w:kern w:val="0"/>
          <w:sz w:val="28"/>
          <w:szCs w:val="28"/>
          <w:lang w:val="en-US" w:eastAsia="zh-CN"/>
        </w:rPr>
        <w:t>参赛选手必须穿工装、绝缘鞋、佩戴安全帽（自备）。</w:t>
      </w:r>
    </w:p>
    <w:p w14:paraId="1285BBE1">
      <w:pPr>
        <w:keepNext w:val="0"/>
        <w:keepLines w:val="0"/>
        <w:pageBreakBefore w:val="0"/>
        <w:widowControl w:val="0"/>
        <w:kinsoku/>
        <w:wordWrap/>
        <w:overflowPunct/>
        <w:topLinePunct w:val="0"/>
        <w:autoSpaceDE/>
        <w:autoSpaceDN/>
        <w:bidi w:val="0"/>
        <w:adjustRightInd/>
        <w:snapToGrid/>
        <w:spacing w:line="520" w:lineRule="exact"/>
        <w:ind w:firstLine="600"/>
        <w:contextualSpacing/>
        <w:textAlignment w:val="auto"/>
        <w:rPr>
          <w:rFonts w:hint="eastAsia" w:ascii="仿宋_GB2312" w:hAnsi="微软雅黑" w:eastAsia="仿宋_GB2312" w:cs="Arial"/>
          <w:kern w:val="0"/>
          <w:sz w:val="28"/>
          <w:szCs w:val="28"/>
        </w:rPr>
      </w:pPr>
      <w:r>
        <w:rPr>
          <w:rFonts w:hint="eastAsia" w:ascii="仿宋_GB2312" w:hAnsi="微软雅黑" w:eastAsia="仿宋_GB2312" w:cs="Arial"/>
          <w:kern w:val="0"/>
          <w:sz w:val="28"/>
          <w:szCs w:val="28"/>
        </w:rPr>
        <w:t>3</w:t>
      </w:r>
      <w:r>
        <w:rPr>
          <w:rFonts w:hint="eastAsia" w:ascii="仿宋_GB2312" w:hAnsi="微软雅黑" w:cs="Arial"/>
          <w:kern w:val="0"/>
          <w:sz w:val="28"/>
          <w:szCs w:val="28"/>
          <w:lang w:eastAsia="zh-CN"/>
        </w:rPr>
        <w:t>.</w:t>
      </w:r>
      <w:r>
        <w:rPr>
          <w:rFonts w:hint="eastAsia" w:ascii="仿宋_GB2312" w:hAnsi="微软雅黑" w:eastAsia="仿宋_GB2312" w:cs="Arial"/>
          <w:kern w:val="0"/>
          <w:sz w:val="28"/>
          <w:szCs w:val="28"/>
        </w:rPr>
        <w:t>参赛选手应遵守赛场纪律，尊重裁判，服从指挥，爱护竞赛场地的设备和器材；</w:t>
      </w:r>
    </w:p>
    <w:p w14:paraId="3F34A7B1">
      <w:pPr>
        <w:keepNext w:val="0"/>
        <w:keepLines w:val="0"/>
        <w:pageBreakBefore w:val="0"/>
        <w:widowControl w:val="0"/>
        <w:kinsoku/>
        <w:wordWrap/>
        <w:overflowPunct/>
        <w:topLinePunct w:val="0"/>
        <w:autoSpaceDE/>
        <w:autoSpaceDN/>
        <w:bidi w:val="0"/>
        <w:adjustRightInd/>
        <w:snapToGrid/>
        <w:spacing w:line="520" w:lineRule="exact"/>
        <w:ind w:firstLine="600"/>
        <w:contextualSpacing/>
        <w:textAlignment w:val="auto"/>
        <w:rPr>
          <w:rFonts w:hint="eastAsia" w:ascii="仿宋" w:hAnsi="仿宋" w:eastAsia="仿宋_GB2312" w:cs="Times New Roman"/>
          <w:kern w:val="2"/>
          <w:sz w:val="28"/>
          <w:szCs w:val="21"/>
          <w:lang w:val="en-US" w:eastAsia="zh-CN" w:bidi="ar-SA"/>
        </w:rPr>
      </w:pPr>
      <w:r>
        <w:rPr>
          <w:rFonts w:hint="eastAsia" w:ascii="仿宋_GB2312" w:hAnsi="微软雅黑" w:eastAsia="仿宋_GB2312" w:cs="Arial"/>
          <w:kern w:val="0"/>
          <w:sz w:val="28"/>
          <w:szCs w:val="28"/>
        </w:rPr>
        <w:t>4</w:t>
      </w:r>
      <w:r>
        <w:rPr>
          <w:rFonts w:hint="eastAsia" w:ascii="仿宋_GB2312" w:hAnsi="微软雅黑" w:cs="Arial"/>
          <w:kern w:val="0"/>
          <w:sz w:val="28"/>
          <w:szCs w:val="28"/>
          <w:lang w:eastAsia="zh-CN"/>
        </w:rPr>
        <w:t>.</w:t>
      </w:r>
      <w:r>
        <w:rPr>
          <w:rFonts w:hint="eastAsia" w:ascii="仿宋_GB2312" w:hAnsi="微软雅黑" w:eastAsia="仿宋_GB2312" w:cs="Arial"/>
          <w:kern w:val="0"/>
          <w:sz w:val="28"/>
          <w:szCs w:val="28"/>
        </w:rPr>
        <w:t>在竞赛过程中，要严格按照安全规程进行操作，防止触电和损坏设备的事故</w:t>
      </w:r>
      <w:r>
        <w:rPr>
          <w:rFonts w:hint="eastAsia" w:ascii="仿宋" w:hAnsi="仿宋" w:eastAsia="仿宋_GB2312" w:cs="Times New Roman"/>
          <w:kern w:val="2"/>
          <w:sz w:val="28"/>
          <w:szCs w:val="21"/>
          <w:lang w:val="en-US" w:eastAsia="zh-CN" w:bidi="ar-SA"/>
        </w:rPr>
        <w:t>发生；</w:t>
      </w:r>
    </w:p>
    <w:p w14:paraId="7147FF8C">
      <w:pPr>
        <w:keepNext w:val="0"/>
        <w:keepLines w:val="0"/>
        <w:pageBreakBefore w:val="0"/>
        <w:widowControl w:val="0"/>
        <w:kinsoku/>
        <w:wordWrap/>
        <w:overflowPunct/>
        <w:topLinePunct w:val="0"/>
        <w:autoSpaceDE/>
        <w:autoSpaceDN/>
        <w:bidi w:val="0"/>
        <w:adjustRightInd/>
        <w:snapToGrid/>
        <w:spacing w:line="520" w:lineRule="exact"/>
        <w:ind w:firstLine="600"/>
        <w:contextualSpacing/>
        <w:textAlignment w:val="auto"/>
        <w:rPr>
          <w:rFonts w:hint="eastAsia" w:ascii="仿宋" w:hAnsi="仿宋" w:eastAsia="仿宋_GB2312" w:cs="Times New Roman"/>
          <w:kern w:val="2"/>
          <w:sz w:val="28"/>
          <w:szCs w:val="21"/>
          <w:lang w:val="en-US" w:eastAsia="zh-CN" w:bidi="ar-SA"/>
        </w:rPr>
      </w:pPr>
      <w:r>
        <w:rPr>
          <w:rFonts w:hint="eastAsia" w:ascii="仿宋" w:hAnsi="仿宋" w:eastAsia="仿宋_GB2312" w:cs="Times New Roman"/>
          <w:kern w:val="2"/>
          <w:sz w:val="28"/>
          <w:szCs w:val="21"/>
          <w:lang w:val="en-US" w:eastAsia="zh-CN" w:bidi="ar-SA"/>
        </w:rPr>
        <w:t>5.在比赛过程中，如遇设备故障可向裁判员提出，经确认后由裁判长决定是否更换设备或加时；</w:t>
      </w:r>
    </w:p>
    <w:p w14:paraId="6C307B09">
      <w:pPr>
        <w:keepNext w:val="0"/>
        <w:keepLines w:val="0"/>
        <w:pageBreakBefore w:val="0"/>
        <w:widowControl w:val="0"/>
        <w:kinsoku/>
        <w:wordWrap/>
        <w:overflowPunct/>
        <w:topLinePunct w:val="0"/>
        <w:autoSpaceDE/>
        <w:autoSpaceDN/>
        <w:bidi w:val="0"/>
        <w:adjustRightInd/>
        <w:snapToGrid/>
        <w:spacing w:line="520" w:lineRule="exact"/>
        <w:ind w:firstLine="600"/>
        <w:contextualSpacing/>
        <w:textAlignment w:val="auto"/>
        <w:rPr>
          <w:rFonts w:hint="eastAsia" w:ascii="仿宋" w:hAnsi="仿宋" w:eastAsia="仿宋_GB2312" w:cs="Times New Roman"/>
          <w:kern w:val="2"/>
          <w:sz w:val="28"/>
          <w:szCs w:val="21"/>
          <w:lang w:val="en-US" w:eastAsia="zh-CN" w:bidi="ar-SA"/>
        </w:rPr>
      </w:pPr>
      <w:r>
        <w:rPr>
          <w:rFonts w:hint="eastAsia" w:ascii="仿宋" w:hAnsi="仿宋" w:eastAsia="仿宋_GB2312" w:cs="Times New Roman"/>
          <w:kern w:val="2"/>
          <w:sz w:val="28"/>
          <w:szCs w:val="21"/>
          <w:lang w:val="en-US" w:eastAsia="zh-CN" w:bidi="ar-SA"/>
        </w:rPr>
        <w:t>6.竞赛时间到，参赛选手应立即停止技能操作，不准将工件等带离赛场。经裁判人员检查许可后，参赛选手方可离开竞赛场地。如有上下场竞赛上午场参赛选手提前结束需进行隔离；</w:t>
      </w:r>
    </w:p>
    <w:p w14:paraId="6B039597">
      <w:pPr>
        <w:keepNext w:val="0"/>
        <w:keepLines w:val="0"/>
        <w:pageBreakBefore w:val="0"/>
        <w:widowControl w:val="0"/>
        <w:kinsoku/>
        <w:wordWrap/>
        <w:overflowPunct/>
        <w:topLinePunct w:val="0"/>
        <w:autoSpaceDE/>
        <w:autoSpaceDN/>
        <w:bidi w:val="0"/>
        <w:adjustRightInd/>
        <w:snapToGrid/>
        <w:spacing w:line="520" w:lineRule="exact"/>
        <w:ind w:firstLine="600"/>
        <w:contextualSpacing/>
        <w:textAlignment w:val="auto"/>
        <w:rPr>
          <w:rFonts w:hint="eastAsia" w:ascii="仿宋_GB2312" w:hAnsi="微软雅黑" w:eastAsia="仿宋_GB2312" w:cs="Arial"/>
          <w:kern w:val="0"/>
          <w:sz w:val="28"/>
          <w:szCs w:val="28"/>
        </w:rPr>
      </w:pPr>
      <w:r>
        <w:rPr>
          <w:rFonts w:hint="eastAsia" w:ascii="仿宋" w:hAnsi="仿宋" w:eastAsia="仿宋_GB2312" w:cs="Times New Roman"/>
          <w:kern w:val="2"/>
          <w:sz w:val="28"/>
          <w:szCs w:val="21"/>
          <w:lang w:val="en-US" w:eastAsia="zh-CN" w:bidi="ar-SA"/>
        </w:rPr>
        <w:t>7.竞赛结束后，参赛选手在规定区域等候，成绩评定时由参赛选手现场展示功能，竞赛成绩根据安</w:t>
      </w:r>
      <w:r>
        <w:rPr>
          <w:rFonts w:hint="eastAsia" w:ascii="仿宋_GB2312" w:hAnsi="微软雅黑" w:eastAsia="仿宋_GB2312" w:cs="Arial"/>
          <w:kern w:val="0"/>
          <w:sz w:val="28"/>
          <w:szCs w:val="28"/>
        </w:rPr>
        <w:t>装规范、调试功能的实现等任务完成情况、职业与安全意识等方面综合评价。</w:t>
      </w:r>
    </w:p>
    <w:p w14:paraId="2992213D">
      <w:pPr>
        <w:rPr>
          <w:rFonts w:hint="eastAsia" w:ascii="黑体" w:hAnsi="黑体" w:eastAsia="黑体" w:cs="黑体"/>
          <w:b w:val="0"/>
          <w:bCs/>
          <w:sz w:val="30"/>
          <w:szCs w:val="30"/>
          <w:lang w:eastAsia="zh-CN"/>
        </w:rPr>
      </w:pPr>
      <w:r>
        <w:rPr>
          <w:rFonts w:hint="eastAsia" w:ascii="黑体" w:hAnsi="黑体" w:eastAsia="黑体" w:cs="黑体"/>
          <w:b w:val="0"/>
          <w:bCs/>
          <w:sz w:val="30"/>
          <w:szCs w:val="30"/>
          <w:lang w:eastAsia="zh-CN"/>
        </w:rPr>
        <w:t>六、技术规范</w:t>
      </w:r>
    </w:p>
    <w:p w14:paraId="2839B2CB">
      <w:pPr>
        <w:keepNext w:val="0"/>
        <w:keepLines w:val="0"/>
        <w:pageBreakBefore w:val="0"/>
        <w:widowControl w:val="0"/>
        <w:kinsoku/>
        <w:wordWrap/>
        <w:overflowPunct/>
        <w:topLinePunct w:val="0"/>
        <w:autoSpaceDE/>
        <w:autoSpaceDN/>
        <w:bidi w:val="0"/>
        <w:adjustRightInd/>
        <w:snapToGrid/>
        <w:spacing w:line="520" w:lineRule="exact"/>
        <w:ind w:firstLine="600"/>
        <w:contextualSpacing/>
        <w:textAlignment w:val="auto"/>
        <w:rPr>
          <w:rFonts w:hint="eastAsia" w:ascii="楷体" w:hAnsi="楷体" w:eastAsia="楷体" w:cs="楷体"/>
          <w:kern w:val="0"/>
          <w:sz w:val="30"/>
          <w:szCs w:val="30"/>
        </w:rPr>
      </w:pPr>
      <w:r>
        <w:rPr>
          <w:rFonts w:hint="eastAsia" w:ascii="楷体" w:hAnsi="楷体" w:eastAsia="楷体" w:cs="楷体"/>
          <w:kern w:val="0"/>
          <w:sz w:val="30"/>
          <w:szCs w:val="30"/>
        </w:rPr>
        <w:t>（一）相关知识与技能</w:t>
      </w:r>
    </w:p>
    <w:p w14:paraId="43AFCC13">
      <w:pPr>
        <w:keepNext w:val="0"/>
        <w:keepLines w:val="0"/>
        <w:pageBreakBefore w:val="0"/>
        <w:widowControl w:val="0"/>
        <w:kinsoku/>
        <w:wordWrap/>
        <w:overflowPunct/>
        <w:topLinePunct w:val="0"/>
        <w:autoSpaceDE/>
        <w:autoSpaceDN/>
        <w:bidi w:val="0"/>
        <w:adjustRightInd/>
        <w:snapToGrid/>
        <w:spacing w:line="520" w:lineRule="exact"/>
        <w:ind w:firstLine="600"/>
        <w:contextualSpacing/>
        <w:textAlignment w:val="auto"/>
        <w:rPr>
          <w:rFonts w:hint="eastAsia" w:ascii="仿宋" w:hAnsi="仿宋" w:eastAsia="仿宋_GB2312" w:cs="Times New Roman"/>
          <w:kern w:val="2"/>
          <w:sz w:val="28"/>
          <w:szCs w:val="21"/>
          <w:lang w:val="en-US" w:eastAsia="zh-CN" w:bidi="ar-SA"/>
        </w:rPr>
      </w:pPr>
      <w:r>
        <w:rPr>
          <w:rFonts w:hint="eastAsia" w:ascii="仿宋" w:hAnsi="仿宋" w:eastAsia="仿宋_GB2312" w:cs="Times New Roman"/>
          <w:kern w:val="2"/>
          <w:sz w:val="28"/>
          <w:szCs w:val="21"/>
          <w:lang w:val="en-US" w:eastAsia="zh-CN" w:bidi="ar-SA"/>
        </w:rPr>
        <w:t>1.工业机器人技术。</w:t>
      </w:r>
    </w:p>
    <w:p w14:paraId="460625CB">
      <w:pPr>
        <w:keepNext w:val="0"/>
        <w:keepLines w:val="0"/>
        <w:pageBreakBefore w:val="0"/>
        <w:widowControl w:val="0"/>
        <w:kinsoku/>
        <w:wordWrap/>
        <w:overflowPunct/>
        <w:topLinePunct w:val="0"/>
        <w:autoSpaceDE/>
        <w:autoSpaceDN/>
        <w:bidi w:val="0"/>
        <w:adjustRightInd/>
        <w:snapToGrid/>
        <w:spacing w:line="520" w:lineRule="exact"/>
        <w:ind w:firstLine="600"/>
        <w:contextualSpacing/>
        <w:textAlignment w:val="auto"/>
        <w:rPr>
          <w:rFonts w:hint="eastAsia" w:ascii="仿宋" w:hAnsi="仿宋" w:eastAsia="仿宋_GB2312" w:cs="Times New Roman"/>
          <w:kern w:val="2"/>
          <w:sz w:val="28"/>
          <w:szCs w:val="21"/>
          <w:lang w:val="en-US" w:eastAsia="zh-CN" w:bidi="ar-SA"/>
        </w:rPr>
      </w:pPr>
      <w:r>
        <w:rPr>
          <w:rFonts w:hint="eastAsia" w:ascii="仿宋" w:hAnsi="仿宋" w:eastAsia="仿宋_GB2312" w:cs="Times New Roman"/>
          <w:kern w:val="2"/>
          <w:sz w:val="28"/>
          <w:szCs w:val="21"/>
          <w:lang w:val="en-US" w:eastAsia="zh-CN" w:bidi="ar-SA"/>
        </w:rPr>
        <w:t>2.机电设备安装与调试。</w:t>
      </w:r>
    </w:p>
    <w:p w14:paraId="3B4668D5">
      <w:pPr>
        <w:keepNext w:val="0"/>
        <w:keepLines w:val="0"/>
        <w:pageBreakBefore w:val="0"/>
        <w:widowControl w:val="0"/>
        <w:kinsoku/>
        <w:wordWrap/>
        <w:overflowPunct/>
        <w:topLinePunct w:val="0"/>
        <w:autoSpaceDE/>
        <w:autoSpaceDN/>
        <w:bidi w:val="0"/>
        <w:adjustRightInd/>
        <w:snapToGrid/>
        <w:spacing w:line="520" w:lineRule="exact"/>
        <w:ind w:firstLine="600"/>
        <w:contextualSpacing/>
        <w:textAlignment w:val="auto"/>
        <w:rPr>
          <w:rFonts w:hint="eastAsia" w:ascii="仿宋" w:hAnsi="仿宋" w:eastAsia="仿宋_GB2312" w:cs="Times New Roman"/>
          <w:kern w:val="2"/>
          <w:sz w:val="28"/>
          <w:szCs w:val="21"/>
          <w:lang w:val="en-US" w:eastAsia="zh-CN" w:bidi="ar-SA"/>
        </w:rPr>
      </w:pPr>
      <w:r>
        <w:rPr>
          <w:rFonts w:hint="eastAsia" w:ascii="仿宋" w:hAnsi="仿宋" w:eastAsia="仿宋_GB2312" w:cs="Times New Roman"/>
          <w:kern w:val="2"/>
          <w:sz w:val="28"/>
          <w:szCs w:val="21"/>
          <w:lang w:val="en-US" w:eastAsia="zh-CN" w:bidi="ar-SA"/>
        </w:rPr>
        <w:t>3.传感器技术。</w:t>
      </w:r>
    </w:p>
    <w:p w14:paraId="40A90925">
      <w:pPr>
        <w:keepNext w:val="0"/>
        <w:keepLines w:val="0"/>
        <w:pageBreakBefore w:val="0"/>
        <w:widowControl w:val="0"/>
        <w:kinsoku/>
        <w:wordWrap/>
        <w:overflowPunct/>
        <w:topLinePunct w:val="0"/>
        <w:autoSpaceDE/>
        <w:autoSpaceDN/>
        <w:bidi w:val="0"/>
        <w:adjustRightInd/>
        <w:snapToGrid/>
        <w:spacing w:line="520" w:lineRule="exact"/>
        <w:ind w:firstLine="600"/>
        <w:contextualSpacing/>
        <w:textAlignment w:val="auto"/>
        <w:rPr>
          <w:rFonts w:hint="eastAsia" w:ascii="仿宋" w:hAnsi="仿宋" w:eastAsia="仿宋_GB2312" w:cs="Times New Roman"/>
          <w:kern w:val="2"/>
          <w:sz w:val="28"/>
          <w:szCs w:val="21"/>
          <w:lang w:val="en-US" w:eastAsia="zh-CN" w:bidi="ar-SA"/>
        </w:rPr>
      </w:pPr>
      <w:r>
        <w:rPr>
          <w:rFonts w:hint="eastAsia" w:ascii="仿宋" w:hAnsi="仿宋" w:eastAsia="仿宋_GB2312" w:cs="Times New Roman"/>
          <w:kern w:val="2"/>
          <w:sz w:val="28"/>
          <w:szCs w:val="21"/>
          <w:lang w:val="en-US" w:eastAsia="zh-CN" w:bidi="ar-SA"/>
        </w:rPr>
        <w:t>4.PLC自动控制技术。</w:t>
      </w:r>
    </w:p>
    <w:p w14:paraId="08643588">
      <w:pPr>
        <w:keepNext w:val="0"/>
        <w:keepLines w:val="0"/>
        <w:pageBreakBefore w:val="0"/>
        <w:widowControl w:val="0"/>
        <w:kinsoku/>
        <w:wordWrap/>
        <w:overflowPunct/>
        <w:topLinePunct w:val="0"/>
        <w:autoSpaceDE/>
        <w:autoSpaceDN/>
        <w:bidi w:val="0"/>
        <w:adjustRightInd/>
        <w:snapToGrid/>
        <w:spacing w:line="520" w:lineRule="exact"/>
        <w:ind w:firstLine="600"/>
        <w:contextualSpacing/>
        <w:textAlignment w:val="auto"/>
        <w:rPr>
          <w:rFonts w:hint="eastAsia" w:ascii="仿宋" w:hAnsi="仿宋" w:eastAsia="仿宋_GB2312" w:cs="Times New Roman"/>
          <w:kern w:val="2"/>
          <w:sz w:val="28"/>
          <w:szCs w:val="21"/>
          <w:lang w:val="en-US" w:eastAsia="zh-CN" w:bidi="ar-SA"/>
        </w:rPr>
      </w:pPr>
      <w:r>
        <w:rPr>
          <w:rFonts w:hint="eastAsia" w:ascii="仿宋" w:hAnsi="仿宋" w:eastAsia="仿宋_GB2312" w:cs="Times New Roman"/>
          <w:kern w:val="2"/>
          <w:sz w:val="28"/>
          <w:szCs w:val="21"/>
          <w:lang w:val="en-US" w:eastAsia="zh-CN" w:bidi="ar-SA"/>
        </w:rPr>
        <w:t>5.气动控制技术。</w:t>
      </w:r>
    </w:p>
    <w:p w14:paraId="63F616D8">
      <w:pPr>
        <w:keepNext w:val="0"/>
        <w:keepLines w:val="0"/>
        <w:pageBreakBefore w:val="0"/>
        <w:widowControl w:val="0"/>
        <w:kinsoku/>
        <w:wordWrap/>
        <w:overflowPunct/>
        <w:topLinePunct w:val="0"/>
        <w:autoSpaceDE/>
        <w:autoSpaceDN/>
        <w:bidi w:val="0"/>
        <w:adjustRightInd/>
        <w:snapToGrid/>
        <w:spacing w:line="520" w:lineRule="exact"/>
        <w:ind w:firstLine="600"/>
        <w:contextualSpacing/>
        <w:textAlignment w:val="auto"/>
        <w:rPr>
          <w:rFonts w:hint="eastAsia" w:ascii="仿宋" w:hAnsi="仿宋" w:eastAsia="仿宋_GB2312" w:cs="Times New Roman"/>
          <w:kern w:val="2"/>
          <w:sz w:val="28"/>
          <w:szCs w:val="21"/>
          <w:lang w:val="en-US" w:eastAsia="zh-CN" w:bidi="ar-SA"/>
        </w:rPr>
      </w:pPr>
      <w:r>
        <w:rPr>
          <w:rFonts w:hint="eastAsia" w:ascii="仿宋" w:hAnsi="仿宋" w:eastAsia="仿宋_GB2312" w:cs="Times New Roman"/>
          <w:kern w:val="2"/>
          <w:sz w:val="28"/>
          <w:szCs w:val="21"/>
          <w:lang w:val="en-US" w:eastAsia="zh-CN" w:bidi="ar-SA"/>
        </w:rPr>
        <w:t>6.运动控制技术及精确定位控制技术。</w:t>
      </w:r>
    </w:p>
    <w:p w14:paraId="0E984494">
      <w:pPr>
        <w:keepNext w:val="0"/>
        <w:keepLines w:val="0"/>
        <w:pageBreakBefore w:val="0"/>
        <w:widowControl w:val="0"/>
        <w:kinsoku/>
        <w:wordWrap/>
        <w:overflowPunct/>
        <w:topLinePunct w:val="0"/>
        <w:autoSpaceDE/>
        <w:autoSpaceDN/>
        <w:bidi w:val="0"/>
        <w:adjustRightInd/>
        <w:snapToGrid/>
        <w:spacing w:line="520" w:lineRule="exact"/>
        <w:ind w:firstLine="600"/>
        <w:contextualSpacing/>
        <w:textAlignment w:val="auto"/>
        <w:rPr>
          <w:rFonts w:hint="eastAsia" w:ascii="仿宋" w:hAnsi="仿宋" w:eastAsia="仿宋_GB2312" w:cs="Times New Roman"/>
          <w:kern w:val="2"/>
          <w:sz w:val="28"/>
          <w:szCs w:val="21"/>
          <w:lang w:val="en-US" w:eastAsia="zh-CN" w:bidi="ar-SA"/>
        </w:rPr>
      </w:pPr>
      <w:r>
        <w:rPr>
          <w:rFonts w:hint="eastAsia" w:ascii="仿宋" w:hAnsi="仿宋" w:eastAsia="仿宋_GB2312" w:cs="Times New Roman"/>
          <w:kern w:val="2"/>
          <w:sz w:val="28"/>
          <w:szCs w:val="21"/>
          <w:lang w:val="en-US" w:eastAsia="zh-CN" w:bidi="ar-SA"/>
        </w:rPr>
        <w:t>7.视觉检测、识别及定位技术。</w:t>
      </w:r>
    </w:p>
    <w:p w14:paraId="2BF0A66E">
      <w:pPr>
        <w:keepNext w:val="0"/>
        <w:keepLines w:val="0"/>
        <w:pageBreakBefore w:val="0"/>
        <w:widowControl w:val="0"/>
        <w:kinsoku/>
        <w:wordWrap/>
        <w:overflowPunct/>
        <w:topLinePunct w:val="0"/>
        <w:autoSpaceDE/>
        <w:autoSpaceDN/>
        <w:bidi w:val="0"/>
        <w:adjustRightInd/>
        <w:snapToGrid/>
        <w:spacing w:line="520" w:lineRule="exact"/>
        <w:ind w:firstLine="600"/>
        <w:contextualSpacing/>
        <w:textAlignment w:val="auto"/>
        <w:rPr>
          <w:rFonts w:hint="eastAsia" w:ascii="仿宋" w:hAnsi="仿宋" w:eastAsia="仿宋_GB2312" w:cs="Times New Roman"/>
          <w:kern w:val="2"/>
          <w:sz w:val="28"/>
          <w:szCs w:val="21"/>
          <w:lang w:val="en-US" w:eastAsia="zh-CN" w:bidi="ar-SA"/>
        </w:rPr>
      </w:pPr>
      <w:r>
        <w:rPr>
          <w:rFonts w:hint="eastAsia" w:ascii="仿宋" w:hAnsi="仿宋" w:eastAsia="仿宋_GB2312" w:cs="Times New Roman"/>
          <w:kern w:val="2"/>
          <w:sz w:val="28"/>
          <w:szCs w:val="21"/>
          <w:lang w:val="en-US" w:eastAsia="zh-CN" w:bidi="ar-SA"/>
        </w:rPr>
        <w:t>8.HMI人机组态技术。</w:t>
      </w:r>
    </w:p>
    <w:p w14:paraId="6A890999">
      <w:pPr>
        <w:keepNext w:val="0"/>
        <w:keepLines w:val="0"/>
        <w:pageBreakBefore w:val="0"/>
        <w:widowControl w:val="0"/>
        <w:kinsoku/>
        <w:wordWrap/>
        <w:overflowPunct/>
        <w:topLinePunct w:val="0"/>
        <w:autoSpaceDE/>
        <w:autoSpaceDN/>
        <w:bidi w:val="0"/>
        <w:adjustRightInd/>
        <w:snapToGrid/>
        <w:spacing w:line="520" w:lineRule="exact"/>
        <w:ind w:firstLine="600"/>
        <w:contextualSpacing/>
        <w:textAlignment w:val="auto"/>
        <w:rPr>
          <w:rFonts w:hint="eastAsia" w:ascii="仿宋" w:hAnsi="仿宋" w:eastAsia="仿宋_GB2312" w:cs="Times New Roman"/>
          <w:kern w:val="2"/>
          <w:sz w:val="28"/>
          <w:szCs w:val="21"/>
          <w:lang w:val="en-US" w:eastAsia="zh-CN" w:bidi="ar-SA"/>
        </w:rPr>
      </w:pPr>
      <w:r>
        <w:rPr>
          <w:rFonts w:hint="eastAsia" w:ascii="仿宋" w:hAnsi="仿宋" w:eastAsia="仿宋_GB2312" w:cs="Times New Roman"/>
          <w:kern w:val="2"/>
          <w:sz w:val="28"/>
          <w:szCs w:val="21"/>
          <w:lang w:val="en-US" w:eastAsia="zh-CN" w:bidi="ar-SA"/>
        </w:rPr>
        <w:t>9.网络总线技术。</w:t>
      </w:r>
    </w:p>
    <w:p w14:paraId="4E575C28">
      <w:pPr>
        <w:keepNext w:val="0"/>
        <w:keepLines w:val="0"/>
        <w:pageBreakBefore w:val="0"/>
        <w:widowControl w:val="0"/>
        <w:kinsoku/>
        <w:wordWrap/>
        <w:overflowPunct/>
        <w:topLinePunct w:val="0"/>
        <w:autoSpaceDE/>
        <w:autoSpaceDN/>
        <w:bidi w:val="0"/>
        <w:adjustRightInd/>
        <w:snapToGrid/>
        <w:spacing w:line="520" w:lineRule="exact"/>
        <w:ind w:firstLine="600"/>
        <w:contextualSpacing/>
        <w:textAlignment w:val="auto"/>
        <w:rPr>
          <w:rFonts w:hint="eastAsia" w:ascii="仿宋" w:hAnsi="仿宋" w:eastAsia="仿宋_GB2312" w:cs="Times New Roman"/>
          <w:kern w:val="2"/>
          <w:sz w:val="28"/>
          <w:szCs w:val="21"/>
          <w:lang w:val="en-US" w:eastAsia="zh-CN" w:bidi="ar-SA"/>
        </w:rPr>
      </w:pPr>
      <w:r>
        <w:rPr>
          <w:rFonts w:hint="eastAsia" w:ascii="仿宋" w:hAnsi="仿宋" w:eastAsia="仿宋_GB2312" w:cs="Times New Roman"/>
          <w:kern w:val="2"/>
          <w:sz w:val="28"/>
          <w:szCs w:val="21"/>
          <w:lang w:val="en-US" w:eastAsia="zh-CN" w:bidi="ar-SA"/>
        </w:rPr>
        <w:t>10.RFID检测技术。</w:t>
      </w:r>
    </w:p>
    <w:p w14:paraId="1479C317">
      <w:pPr>
        <w:keepNext w:val="0"/>
        <w:keepLines w:val="0"/>
        <w:pageBreakBefore w:val="0"/>
        <w:widowControl w:val="0"/>
        <w:kinsoku/>
        <w:wordWrap/>
        <w:overflowPunct/>
        <w:topLinePunct w:val="0"/>
        <w:autoSpaceDE/>
        <w:autoSpaceDN/>
        <w:bidi w:val="0"/>
        <w:adjustRightInd/>
        <w:snapToGrid/>
        <w:spacing w:line="520" w:lineRule="exact"/>
        <w:ind w:firstLine="600"/>
        <w:contextualSpacing/>
        <w:textAlignment w:val="auto"/>
        <w:rPr>
          <w:rFonts w:hint="eastAsia" w:ascii="仿宋" w:hAnsi="仿宋" w:eastAsia="仿宋_GB2312" w:cs="Times New Roman"/>
          <w:kern w:val="2"/>
          <w:sz w:val="28"/>
          <w:szCs w:val="21"/>
          <w:lang w:val="en-US" w:eastAsia="zh-CN" w:bidi="ar-SA"/>
        </w:rPr>
      </w:pPr>
      <w:r>
        <w:rPr>
          <w:rFonts w:hint="eastAsia" w:ascii="仿宋" w:hAnsi="仿宋" w:eastAsia="仿宋_GB2312" w:cs="Times New Roman"/>
          <w:kern w:val="2"/>
          <w:sz w:val="28"/>
          <w:szCs w:val="21"/>
          <w:lang w:val="en-US" w:eastAsia="zh-CN" w:bidi="ar-SA"/>
        </w:rPr>
        <w:t>11.结构化编程及虚拟仿真技术。</w:t>
      </w:r>
    </w:p>
    <w:p w14:paraId="14503888">
      <w:pPr>
        <w:keepNext w:val="0"/>
        <w:keepLines w:val="0"/>
        <w:pageBreakBefore w:val="0"/>
        <w:widowControl w:val="0"/>
        <w:kinsoku/>
        <w:wordWrap/>
        <w:overflowPunct/>
        <w:topLinePunct w:val="0"/>
        <w:autoSpaceDE/>
        <w:autoSpaceDN/>
        <w:bidi w:val="0"/>
        <w:adjustRightInd/>
        <w:snapToGrid/>
        <w:spacing w:line="520" w:lineRule="exact"/>
        <w:ind w:firstLine="600"/>
        <w:contextualSpacing/>
        <w:textAlignment w:val="auto"/>
        <w:rPr>
          <w:rFonts w:hint="eastAsia" w:ascii="仿宋" w:hAnsi="仿宋" w:eastAsia="仿宋_GB2312" w:cs="Times New Roman"/>
          <w:kern w:val="2"/>
          <w:sz w:val="28"/>
          <w:szCs w:val="21"/>
          <w:lang w:val="en-US" w:eastAsia="zh-CN" w:bidi="ar-SA"/>
        </w:rPr>
      </w:pPr>
      <w:r>
        <w:rPr>
          <w:rFonts w:hint="eastAsia" w:ascii="仿宋" w:hAnsi="仿宋" w:eastAsia="仿宋_GB2312" w:cs="Times New Roman"/>
          <w:kern w:val="2"/>
          <w:sz w:val="28"/>
          <w:szCs w:val="21"/>
          <w:lang w:val="en-US" w:eastAsia="zh-CN" w:bidi="ar-SA"/>
        </w:rPr>
        <w:t>12.伺服驱动系统原理与应用。</w:t>
      </w:r>
    </w:p>
    <w:p w14:paraId="1500E28D">
      <w:pPr>
        <w:keepNext w:val="0"/>
        <w:keepLines w:val="0"/>
        <w:pageBreakBefore w:val="0"/>
        <w:widowControl w:val="0"/>
        <w:kinsoku/>
        <w:wordWrap/>
        <w:overflowPunct/>
        <w:topLinePunct w:val="0"/>
        <w:autoSpaceDE/>
        <w:autoSpaceDN/>
        <w:bidi w:val="0"/>
        <w:adjustRightInd/>
        <w:snapToGrid/>
        <w:spacing w:line="520" w:lineRule="exact"/>
        <w:ind w:firstLine="600"/>
        <w:contextualSpacing/>
        <w:textAlignment w:val="auto"/>
        <w:rPr>
          <w:rFonts w:hint="eastAsia" w:ascii="仿宋_GB2312" w:hAnsi="微软雅黑" w:eastAsia="仿宋_GB2312" w:cs="Arial"/>
          <w:kern w:val="0"/>
          <w:sz w:val="30"/>
          <w:szCs w:val="30"/>
        </w:rPr>
      </w:pPr>
      <w:r>
        <w:rPr>
          <w:rFonts w:hint="eastAsia" w:ascii="仿宋" w:hAnsi="仿宋" w:eastAsia="仿宋_GB2312" w:cs="Times New Roman"/>
          <w:kern w:val="2"/>
          <w:sz w:val="28"/>
          <w:szCs w:val="21"/>
          <w:lang w:val="en-US" w:eastAsia="zh-CN" w:bidi="ar-SA"/>
        </w:rPr>
        <w:t>13.智能装备与产线单元模块的现场安装和调试。</w:t>
      </w:r>
    </w:p>
    <w:p w14:paraId="125FE887">
      <w:pPr>
        <w:keepNext w:val="0"/>
        <w:keepLines w:val="0"/>
        <w:pageBreakBefore w:val="0"/>
        <w:widowControl w:val="0"/>
        <w:kinsoku/>
        <w:wordWrap/>
        <w:overflowPunct/>
        <w:topLinePunct w:val="0"/>
        <w:autoSpaceDE/>
        <w:autoSpaceDN/>
        <w:bidi w:val="0"/>
        <w:adjustRightInd/>
        <w:snapToGrid/>
        <w:spacing w:line="520" w:lineRule="exact"/>
        <w:ind w:firstLine="600"/>
        <w:contextualSpacing/>
        <w:textAlignment w:val="auto"/>
        <w:rPr>
          <w:rFonts w:hint="eastAsia" w:ascii="楷体" w:hAnsi="楷体" w:eastAsia="楷体" w:cs="楷体"/>
          <w:kern w:val="0"/>
          <w:sz w:val="30"/>
          <w:szCs w:val="30"/>
        </w:rPr>
      </w:pPr>
      <w:r>
        <w:rPr>
          <w:rFonts w:hint="eastAsia" w:ascii="楷体" w:hAnsi="楷体" w:eastAsia="楷体" w:cs="楷体"/>
          <w:kern w:val="0"/>
          <w:sz w:val="30"/>
          <w:szCs w:val="30"/>
        </w:rPr>
        <w:t>（二）参考相关职业标准和技术标准</w:t>
      </w:r>
    </w:p>
    <w:p w14:paraId="19BD98D9">
      <w:pPr>
        <w:keepNext w:val="0"/>
        <w:keepLines w:val="0"/>
        <w:pageBreakBefore w:val="0"/>
        <w:widowControl w:val="0"/>
        <w:kinsoku/>
        <w:wordWrap/>
        <w:overflowPunct/>
        <w:topLinePunct w:val="0"/>
        <w:autoSpaceDE/>
        <w:autoSpaceDN/>
        <w:bidi w:val="0"/>
        <w:adjustRightInd/>
        <w:snapToGrid/>
        <w:spacing w:line="520" w:lineRule="exact"/>
        <w:ind w:firstLine="600"/>
        <w:contextualSpacing/>
        <w:textAlignment w:val="auto"/>
        <w:rPr>
          <w:rFonts w:hint="eastAsia" w:ascii="仿宋" w:hAnsi="仿宋" w:eastAsia="仿宋_GB2312" w:cs="Times New Roman"/>
          <w:kern w:val="2"/>
          <w:sz w:val="28"/>
          <w:szCs w:val="21"/>
          <w:lang w:val="en-US" w:eastAsia="zh-CN" w:bidi="ar-SA"/>
        </w:rPr>
      </w:pPr>
      <w:r>
        <w:rPr>
          <w:rFonts w:hint="eastAsia" w:ascii="仿宋" w:hAnsi="仿宋" w:eastAsia="仿宋_GB2312" w:cs="Times New Roman"/>
          <w:kern w:val="2"/>
          <w:sz w:val="28"/>
          <w:szCs w:val="21"/>
          <w:lang w:val="en-US" w:eastAsia="zh-CN" w:bidi="ar-SA"/>
        </w:rPr>
        <w:t>1.机械设备安装工国家职业标准（职业编码6－29－03－01）</w:t>
      </w:r>
    </w:p>
    <w:p w14:paraId="1DF0B833">
      <w:pPr>
        <w:keepNext w:val="0"/>
        <w:keepLines w:val="0"/>
        <w:pageBreakBefore w:val="0"/>
        <w:widowControl w:val="0"/>
        <w:kinsoku/>
        <w:wordWrap/>
        <w:overflowPunct/>
        <w:topLinePunct w:val="0"/>
        <w:autoSpaceDE/>
        <w:autoSpaceDN/>
        <w:bidi w:val="0"/>
        <w:adjustRightInd/>
        <w:snapToGrid/>
        <w:spacing w:line="520" w:lineRule="exact"/>
        <w:ind w:firstLine="600"/>
        <w:contextualSpacing/>
        <w:textAlignment w:val="auto"/>
        <w:rPr>
          <w:rFonts w:hint="eastAsia" w:ascii="仿宋" w:hAnsi="仿宋" w:eastAsia="仿宋_GB2312" w:cs="Times New Roman"/>
          <w:kern w:val="2"/>
          <w:sz w:val="28"/>
          <w:szCs w:val="21"/>
          <w:lang w:val="en-US" w:eastAsia="zh-CN" w:bidi="ar-SA"/>
        </w:rPr>
      </w:pPr>
      <w:r>
        <w:rPr>
          <w:rFonts w:hint="eastAsia" w:ascii="仿宋" w:hAnsi="仿宋" w:eastAsia="仿宋_GB2312" w:cs="Times New Roman"/>
          <w:kern w:val="2"/>
          <w:sz w:val="28"/>
          <w:szCs w:val="21"/>
          <w:lang w:val="en-US" w:eastAsia="zh-CN" w:bidi="ar-SA"/>
        </w:rPr>
        <w:t>2.电气设备安装工国家职业标准（职业编码6－29－03－02）</w:t>
      </w:r>
    </w:p>
    <w:p w14:paraId="4F0A949F">
      <w:pPr>
        <w:keepNext w:val="0"/>
        <w:keepLines w:val="0"/>
        <w:pageBreakBefore w:val="0"/>
        <w:widowControl w:val="0"/>
        <w:kinsoku/>
        <w:wordWrap/>
        <w:overflowPunct/>
        <w:topLinePunct w:val="0"/>
        <w:autoSpaceDE/>
        <w:autoSpaceDN/>
        <w:bidi w:val="0"/>
        <w:adjustRightInd/>
        <w:snapToGrid/>
        <w:spacing w:line="520" w:lineRule="exact"/>
        <w:ind w:firstLine="600"/>
        <w:contextualSpacing/>
        <w:textAlignment w:val="auto"/>
        <w:rPr>
          <w:rFonts w:hint="eastAsia" w:ascii="仿宋" w:hAnsi="仿宋" w:eastAsia="仿宋_GB2312" w:cs="Times New Roman"/>
          <w:kern w:val="2"/>
          <w:sz w:val="28"/>
          <w:szCs w:val="21"/>
          <w:lang w:val="en-US" w:eastAsia="zh-CN" w:bidi="ar-SA"/>
        </w:rPr>
      </w:pPr>
      <w:r>
        <w:rPr>
          <w:rFonts w:hint="eastAsia" w:ascii="仿宋" w:hAnsi="仿宋" w:eastAsia="仿宋_GB2312" w:cs="Times New Roman"/>
          <w:kern w:val="2"/>
          <w:sz w:val="28"/>
          <w:szCs w:val="21"/>
          <w:lang w:val="en-US" w:eastAsia="zh-CN" w:bidi="ar-SA"/>
        </w:rPr>
        <w:t>3.工业机器人系统运维员国家职业技能标准（职业编码6－31－07-01）</w:t>
      </w:r>
    </w:p>
    <w:p w14:paraId="2B719B2B">
      <w:pPr>
        <w:keepNext w:val="0"/>
        <w:keepLines w:val="0"/>
        <w:pageBreakBefore w:val="0"/>
        <w:widowControl w:val="0"/>
        <w:kinsoku/>
        <w:wordWrap/>
        <w:overflowPunct/>
        <w:topLinePunct w:val="0"/>
        <w:autoSpaceDE/>
        <w:autoSpaceDN/>
        <w:bidi w:val="0"/>
        <w:adjustRightInd/>
        <w:snapToGrid/>
        <w:spacing w:line="520" w:lineRule="exact"/>
        <w:ind w:firstLine="600"/>
        <w:contextualSpacing/>
        <w:textAlignment w:val="auto"/>
        <w:rPr>
          <w:rFonts w:hint="eastAsia" w:ascii="仿宋" w:hAnsi="仿宋" w:eastAsia="仿宋_GB2312" w:cs="Times New Roman"/>
          <w:kern w:val="2"/>
          <w:sz w:val="28"/>
          <w:szCs w:val="21"/>
          <w:lang w:val="en-US" w:eastAsia="zh-CN" w:bidi="ar-SA"/>
        </w:rPr>
      </w:pPr>
      <w:r>
        <w:rPr>
          <w:rFonts w:hint="eastAsia" w:ascii="仿宋" w:hAnsi="仿宋" w:eastAsia="仿宋_GB2312" w:cs="Times New Roman"/>
          <w:kern w:val="2"/>
          <w:sz w:val="28"/>
          <w:szCs w:val="21"/>
          <w:lang w:val="en-US" w:eastAsia="zh-CN" w:bidi="ar-SA"/>
        </w:rPr>
        <w:t>4.工业机器人系统操作员国家职业技能标准（职业编码6－31－07-03）</w:t>
      </w:r>
    </w:p>
    <w:p w14:paraId="6FAE498B">
      <w:pPr>
        <w:keepNext w:val="0"/>
        <w:keepLines w:val="0"/>
        <w:pageBreakBefore w:val="0"/>
        <w:widowControl w:val="0"/>
        <w:kinsoku/>
        <w:wordWrap/>
        <w:overflowPunct/>
        <w:topLinePunct w:val="0"/>
        <w:autoSpaceDE/>
        <w:autoSpaceDN/>
        <w:bidi w:val="0"/>
        <w:adjustRightInd/>
        <w:snapToGrid/>
        <w:spacing w:line="520" w:lineRule="exact"/>
        <w:ind w:firstLine="600"/>
        <w:contextualSpacing/>
        <w:textAlignment w:val="auto"/>
        <w:rPr>
          <w:rFonts w:hint="eastAsia" w:ascii="仿宋" w:hAnsi="仿宋" w:eastAsia="仿宋_GB2312" w:cs="Times New Roman"/>
          <w:kern w:val="2"/>
          <w:sz w:val="28"/>
          <w:szCs w:val="21"/>
          <w:lang w:val="en-US" w:eastAsia="zh-CN" w:bidi="ar-SA"/>
        </w:rPr>
      </w:pPr>
      <w:r>
        <w:rPr>
          <w:rFonts w:hint="eastAsia" w:ascii="仿宋" w:hAnsi="仿宋" w:eastAsia="仿宋_GB2312" w:cs="Times New Roman"/>
          <w:kern w:val="2"/>
          <w:sz w:val="28"/>
          <w:szCs w:val="21"/>
          <w:lang w:val="en-US" w:eastAsia="zh-CN" w:bidi="ar-SA"/>
        </w:rPr>
        <w:t>5.工业控制系统信息安全GB／T30976.1－30976.2</w:t>
      </w:r>
    </w:p>
    <w:p w14:paraId="52457A08">
      <w:pPr>
        <w:keepNext w:val="0"/>
        <w:keepLines w:val="0"/>
        <w:pageBreakBefore w:val="0"/>
        <w:widowControl w:val="0"/>
        <w:kinsoku/>
        <w:wordWrap/>
        <w:overflowPunct/>
        <w:topLinePunct w:val="0"/>
        <w:autoSpaceDE/>
        <w:autoSpaceDN/>
        <w:bidi w:val="0"/>
        <w:adjustRightInd/>
        <w:snapToGrid/>
        <w:spacing w:line="520" w:lineRule="exact"/>
        <w:ind w:firstLine="600"/>
        <w:contextualSpacing/>
        <w:textAlignment w:val="auto"/>
        <w:rPr>
          <w:rFonts w:hint="eastAsia" w:ascii="仿宋" w:hAnsi="仿宋" w:eastAsia="仿宋_GB2312" w:cs="Times New Roman"/>
          <w:kern w:val="2"/>
          <w:sz w:val="28"/>
          <w:szCs w:val="21"/>
          <w:lang w:val="en-US" w:eastAsia="zh-CN" w:bidi="ar-SA"/>
        </w:rPr>
      </w:pPr>
      <w:r>
        <w:rPr>
          <w:rFonts w:hint="eastAsia" w:ascii="仿宋" w:hAnsi="仿宋" w:eastAsia="仿宋_GB2312" w:cs="Times New Roman"/>
          <w:kern w:val="2"/>
          <w:sz w:val="28"/>
          <w:szCs w:val="21"/>
          <w:lang w:val="en-US" w:eastAsia="zh-CN" w:bidi="ar-SA"/>
        </w:rPr>
        <w:t>6.工业机器人坐标系和运动命名原则GB／T16977－2005</w:t>
      </w:r>
    </w:p>
    <w:p w14:paraId="0F80F0E2">
      <w:pPr>
        <w:keepNext w:val="0"/>
        <w:keepLines w:val="0"/>
        <w:pageBreakBefore w:val="0"/>
        <w:widowControl w:val="0"/>
        <w:kinsoku/>
        <w:wordWrap/>
        <w:overflowPunct/>
        <w:topLinePunct w:val="0"/>
        <w:autoSpaceDE/>
        <w:autoSpaceDN/>
        <w:bidi w:val="0"/>
        <w:adjustRightInd/>
        <w:snapToGrid/>
        <w:spacing w:line="520" w:lineRule="exact"/>
        <w:ind w:firstLine="600"/>
        <w:contextualSpacing/>
        <w:textAlignment w:val="auto"/>
        <w:rPr>
          <w:rFonts w:hint="eastAsia" w:ascii="仿宋" w:hAnsi="仿宋" w:eastAsia="仿宋_GB2312" w:cs="Times New Roman"/>
          <w:kern w:val="2"/>
          <w:sz w:val="28"/>
          <w:szCs w:val="21"/>
          <w:lang w:val="en-US" w:eastAsia="zh-CN" w:bidi="ar-SA"/>
        </w:rPr>
      </w:pPr>
      <w:r>
        <w:rPr>
          <w:rFonts w:hint="eastAsia" w:ascii="仿宋" w:hAnsi="仿宋" w:eastAsia="仿宋_GB2312" w:cs="Times New Roman"/>
          <w:kern w:val="2"/>
          <w:sz w:val="28"/>
          <w:szCs w:val="21"/>
          <w:lang w:val="en-US" w:eastAsia="zh-CN" w:bidi="ar-SA"/>
        </w:rPr>
        <w:t>7.工业机器人编程和操作图形用户接口GB／T19399－2003</w:t>
      </w:r>
    </w:p>
    <w:p w14:paraId="74954A8C">
      <w:pPr>
        <w:keepNext w:val="0"/>
        <w:keepLines w:val="0"/>
        <w:pageBreakBefore w:val="0"/>
        <w:widowControl w:val="0"/>
        <w:kinsoku/>
        <w:wordWrap/>
        <w:overflowPunct/>
        <w:topLinePunct w:val="0"/>
        <w:autoSpaceDE/>
        <w:autoSpaceDN/>
        <w:bidi w:val="0"/>
        <w:adjustRightInd/>
        <w:snapToGrid/>
        <w:spacing w:line="520" w:lineRule="exact"/>
        <w:ind w:firstLine="600"/>
        <w:contextualSpacing/>
        <w:textAlignment w:val="auto"/>
        <w:rPr>
          <w:rFonts w:hint="eastAsia" w:ascii="仿宋" w:hAnsi="仿宋" w:eastAsia="仿宋_GB2312" w:cs="Times New Roman"/>
          <w:kern w:val="2"/>
          <w:sz w:val="28"/>
          <w:szCs w:val="21"/>
          <w:lang w:val="en-US" w:eastAsia="zh-CN" w:bidi="ar-SA"/>
        </w:rPr>
      </w:pPr>
      <w:r>
        <w:rPr>
          <w:rFonts w:hint="eastAsia" w:ascii="仿宋" w:hAnsi="仿宋" w:eastAsia="仿宋_GB2312" w:cs="Times New Roman"/>
          <w:kern w:val="2"/>
          <w:sz w:val="28"/>
          <w:szCs w:val="21"/>
          <w:lang w:val="en-US" w:eastAsia="zh-CN" w:bidi="ar-SA"/>
        </w:rPr>
        <w:t>8.工业机器人安全规范GB／T11291－1997</w:t>
      </w:r>
    </w:p>
    <w:p w14:paraId="078A96AF">
      <w:pPr>
        <w:keepNext w:val="0"/>
        <w:keepLines w:val="0"/>
        <w:pageBreakBefore w:val="0"/>
        <w:widowControl w:val="0"/>
        <w:kinsoku/>
        <w:wordWrap/>
        <w:overflowPunct/>
        <w:topLinePunct w:val="0"/>
        <w:autoSpaceDE/>
        <w:autoSpaceDN/>
        <w:bidi w:val="0"/>
        <w:adjustRightInd/>
        <w:snapToGrid/>
        <w:spacing w:line="520" w:lineRule="exact"/>
        <w:ind w:firstLine="600"/>
        <w:contextualSpacing/>
        <w:textAlignment w:val="auto"/>
        <w:rPr>
          <w:rFonts w:hint="eastAsia" w:ascii="仿宋" w:hAnsi="仿宋" w:eastAsia="仿宋_GB2312" w:cs="Times New Roman"/>
          <w:kern w:val="2"/>
          <w:sz w:val="28"/>
          <w:szCs w:val="21"/>
          <w:lang w:val="en-US" w:eastAsia="zh-CN" w:bidi="ar-SA"/>
        </w:rPr>
      </w:pPr>
      <w:r>
        <w:rPr>
          <w:rFonts w:hint="eastAsia" w:ascii="仿宋" w:hAnsi="仿宋" w:eastAsia="仿宋_GB2312" w:cs="Times New Roman"/>
          <w:kern w:val="2"/>
          <w:sz w:val="28"/>
          <w:szCs w:val="21"/>
          <w:lang w:val="en-US" w:eastAsia="zh-CN" w:bidi="ar-SA"/>
        </w:rPr>
        <w:t>9.工业机器人通用技术标准GB／T14284－1993</w:t>
      </w:r>
    </w:p>
    <w:p w14:paraId="5D94EF99">
      <w:pPr>
        <w:keepNext w:val="0"/>
        <w:keepLines w:val="0"/>
        <w:pageBreakBefore w:val="0"/>
        <w:widowControl w:val="0"/>
        <w:kinsoku/>
        <w:wordWrap/>
        <w:overflowPunct/>
        <w:topLinePunct w:val="0"/>
        <w:autoSpaceDE/>
        <w:autoSpaceDN/>
        <w:bidi w:val="0"/>
        <w:adjustRightInd/>
        <w:snapToGrid/>
        <w:spacing w:line="520" w:lineRule="exact"/>
        <w:ind w:firstLine="600"/>
        <w:contextualSpacing/>
        <w:textAlignment w:val="auto"/>
        <w:rPr>
          <w:rFonts w:hint="eastAsia" w:ascii="仿宋" w:hAnsi="仿宋" w:eastAsia="仿宋_GB2312" w:cs="Times New Roman"/>
          <w:kern w:val="2"/>
          <w:sz w:val="28"/>
          <w:szCs w:val="21"/>
          <w:lang w:val="en-US" w:eastAsia="zh-CN" w:bidi="ar-SA"/>
        </w:rPr>
      </w:pPr>
      <w:r>
        <w:rPr>
          <w:rFonts w:hint="eastAsia" w:ascii="仿宋" w:hAnsi="仿宋" w:eastAsia="仿宋_GB2312" w:cs="Times New Roman"/>
          <w:kern w:val="2"/>
          <w:sz w:val="28"/>
          <w:szCs w:val="21"/>
          <w:lang w:val="en-US" w:eastAsia="zh-CN" w:bidi="ar-SA"/>
        </w:rPr>
        <w:t>10.电气设备用图形符号GB／T5465.2－1996</w:t>
      </w:r>
    </w:p>
    <w:p w14:paraId="7A602019">
      <w:pPr>
        <w:keepNext w:val="0"/>
        <w:keepLines w:val="0"/>
        <w:pageBreakBefore w:val="0"/>
        <w:widowControl w:val="0"/>
        <w:kinsoku/>
        <w:wordWrap/>
        <w:overflowPunct/>
        <w:topLinePunct w:val="0"/>
        <w:autoSpaceDE/>
        <w:autoSpaceDN/>
        <w:bidi w:val="0"/>
        <w:adjustRightInd/>
        <w:snapToGrid/>
        <w:spacing w:line="520" w:lineRule="exact"/>
        <w:ind w:firstLine="600"/>
        <w:contextualSpacing/>
        <w:textAlignment w:val="auto"/>
        <w:rPr>
          <w:rFonts w:hint="eastAsia" w:ascii="仿宋" w:hAnsi="仿宋" w:eastAsia="仿宋_GB2312" w:cs="Times New Roman"/>
          <w:kern w:val="2"/>
          <w:sz w:val="28"/>
          <w:szCs w:val="21"/>
          <w:lang w:val="en-US" w:eastAsia="zh-CN" w:bidi="ar-SA"/>
        </w:rPr>
      </w:pPr>
      <w:r>
        <w:rPr>
          <w:rFonts w:hint="eastAsia" w:ascii="仿宋" w:hAnsi="仿宋" w:eastAsia="仿宋_GB2312" w:cs="Times New Roman"/>
          <w:kern w:val="2"/>
          <w:sz w:val="28"/>
          <w:szCs w:val="21"/>
          <w:lang w:val="en-US" w:eastAsia="zh-CN" w:bidi="ar-SA"/>
        </w:rPr>
        <w:t>11.机械安全机械电气设备第1部分GB5226.1－2002</w:t>
      </w:r>
    </w:p>
    <w:p w14:paraId="25113AB3">
      <w:pPr>
        <w:keepNext w:val="0"/>
        <w:keepLines w:val="0"/>
        <w:pageBreakBefore w:val="0"/>
        <w:widowControl w:val="0"/>
        <w:kinsoku/>
        <w:wordWrap/>
        <w:overflowPunct/>
        <w:topLinePunct w:val="0"/>
        <w:autoSpaceDE/>
        <w:autoSpaceDN/>
        <w:bidi w:val="0"/>
        <w:adjustRightInd/>
        <w:snapToGrid/>
        <w:spacing w:line="520" w:lineRule="exact"/>
        <w:ind w:firstLine="600"/>
        <w:contextualSpacing/>
        <w:textAlignment w:val="auto"/>
        <w:rPr>
          <w:rFonts w:hint="eastAsia" w:ascii="仿宋" w:hAnsi="仿宋" w:eastAsia="仿宋_GB2312" w:cs="Times New Roman"/>
          <w:kern w:val="2"/>
          <w:sz w:val="28"/>
          <w:szCs w:val="21"/>
          <w:lang w:val="en-US" w:eastAsia="zh-CN" w:bidi="ar-SA"/>
        </w:rPr>
      </w:pPr>
      <w:r>
        <w:rPr>
          <w:rFonts w:hint="eastAsia" w:ascii="仿宋" w:hAnsi="仿宋" w:eastAsia="仿宋_GB2312" w:cs="Times New Roman"/>
          <w:kern w:val="2"/>
          <w:sz w:val="28"/>
          <w:szCs w:val="21"/>
          <w:lang w:val="en-US" w:eastAsia="zh-CN" w:bidi="ar-SA"/>
        </w:rPr>
        <w:t>12.工业通信网络现场总线规范第2部分：物流层规范和服务定义GB/T16657.2－2008</w:t>
      </w:r>
    </w:p>
    <w:p w14:paraId="2548FBF7">
      <w:pPr>
        <w:keepNext w:val="0"/>
        <w:keepLines w:val="0"/>
        <w:pageBreakBefore w:val="0"/>
        <w:widowControl w:val="0"/>
        <w:kinsoku/>
        <w:wordWrap/>
        <w:overflowPunct/>
        <w:topLinePunct w:val="0"/>
        <w:autoSpaceDE/>
        <w:autoSpaceDN/>
        <w:bidi w:val="0"/>
        <w:adjustRightInd/>
        <w:snapToGrid/>
        <w:spacing w:line="520" w:lineRule="exact"/>
        <w:ind w:firstLine="600"/>
        <w:contextualSpacing/>
        <w:textAlignment w:val="auto"/>
        <w:rPr>
          <w:rFonts w:hint="eastAsia" w:ascii="仿宋" w:hAnsi="仿宋" w:eastAsia="仿宋_GB2312" w:cs="Times New Roman"/>
          <w:kern w:val="2"/>
          <w:sz w:val="28"/>
          <w:szCs w:val="21"/>
          <w:lang w:val="en-US" w:eastAsia="zh-CN" w:bidi="ar-SA"/>
        </w:rPr>
      </w:pPr>
      <w:r>
        <w:rPr>
          <w:rFonts w:hint="eastAsia" w:ascii="仿宋" w:hAnsi="仿宋" w:eastAsia="仿宋_GB2312" w:cs="Times New Roman"/>
          <w:kern w:val="2"/>
          <w:sz w:val="28"/>
          <w:szCs w:val="21"/>
          <w:lang w:val="en-US" w:eastAsia="zh-CN" w:bidi="ar-SA"/>
        </w:rPr>
        <w:t>13.教学仪器设备安全要求总则GB21746－2008</w:t>
      </w:r>
    </w:p>
    <w:p w14:paraId="2B55F57E">
      <w:pPr>
        <w:keepNext w:val="0"/>
        <w:keepLines w:val="0"/>
        <w:pageBreakBefore w:val="0"/>
        <w:widowControl w:val="0"/>
        <w:kinsoku/>
        <w:wordWrap/>
        <w:overflowPunct/>
        <w:topLinePunct w:val="0"/>
        <w:autoSpaceDE/>
        <w:autoSpaceDN/>
        <w:bidi w:val="0"/>
        <w:adjustRightInd/>
        <w:snapToGrid/>
        <w:spacing w:line="520" w:lineRule="exact"/>
        <w:ind w:firstLine="600"/>
        <w:contextualSpacing/>
        <w:textAlignment w:val="auto"/>
        <w:rPr>
          <w:rFonts w:hint="eastAsia" w:ascii="仿宋" w:hAnsi="仿宋" w:eastAsia="仿宋_GB2312" w:cs="Times New Roman"/>
          <w:kern w:val="2"/>
          <w:sz w:val="28"/>
          <w:szCs w:val="21"/>
          <w:lang w:val="en-US" w:eastAsia="zh-CN" w:bidi="ar-SA"/>
        </w:rPr>
      </w:pPr>
      <w:r>
        <w:rPr>
          <w:rFonts w:hint="eastAsia" w:ascii="仿宋" w:hAnsi="仿宋" w:eastAsia="仿宋_GB2312" w:cs="Times New Roman"/>
          <w:kern w:val="2"/>
          <w:sz w:val="28"/>
          <w:szCs w:val="21"/>
          <w:lang w:val="en-US" w:eastAsia="zh-CN" w:bidi="ar-SA"/>
        </w:rPr>
        <w:t>14.世界技能大赛机电一体化项目专业技术规范</w:t>
      </w:r>
    </w:p>
    <w:p w14:paraId="240D57C2">
      <w:pPr>
        <w:keepNext w:val="0"/>
        <w:keepLines w:val="0"/>
        <w:pageBreakBefore w:val="0"/>
        <w:widowControl w:val="0"/>
        <w:kinsoku/>
        <w:wordWrap/>
        <w:overflowPunct/>
        <w:topLinePunct w:val="0"/>
        <w:autoSpaceDE/>
        <w:autoSpaceDN/>
        <w:bidi w:val="0"/>
        <w:adjustRightInd/>
        <w:snapToGrid/>
        <w:spacing w:line="520" w:lineRule="exact"/>
        <w:ind w:firstLine="600"/>
        <w:contextualSpacing/>
        <w:textAlignment w:val="auto"/>
        <w:rPr>
          <w:rFonts w:hint="eastAsia" w:ascii="仿宋" w:hAnsi="仿宋" w:eastAsia="仿宋_GB2312" w:cs="Times New Roman"/>
          <w:kern w:val="2"/>
          <w:sz w:val="28"/>
          <w:szCs w:val="21"/>
          <w:lang w:val="en-US" w:eastAsia="zh-CN" w:bidi="ar-SA"/>
        </w:rPr>
      </w:pPr>
      <w:r>
        <w:rPr>
          <w:rFonts w:hint="eastAsia" w:ascii="仿宋" w:hAnsi="仿宋" w:eastAsia="仿宋_GB2312" w:cs="Times New Roman"/>
          <w:kern w:val="2"/>
          <w:sz w:val="28"/>
          <w:szCs w:val="21"/>
          <w:lang w:val="en-US" w:eastAsia="zh-CN" w:bidi="ar-SA"/>
        </w:rPr>
        <w:t>15.工业机器人集成应用职业技能等级标准</w:t>
      </w:r>
    </w:p>
    <w:p w14:paraId="4ECDB6DD">
      <w:pPr>
        <w:keepNext w:val="0"/>
        <w:keepLines w:val="0"/>
        <w:pageBreakBefore w:val="0"/>
        <w:widowControl w:val="0"/>
        <w:kinsoku/>
        <w:wordWrap/>
        <w:overflowPunct/>
        <w:topLinePunct w:val="0"/>
        <w:autoSpaceDE/>
        <w:autoSpaceDN/>
        <w:bidi w:val="0"/>
        <w:adjustRightInd/>
        <w:snapToGrid/>
        <w:spacing w:line="520" w:lineRule="exact"/>
        <w:ind w:firstLine="600"/>
        <w:contextualSpacing/>
        <w:textAlignment w:val="auto"/>
        <w:rPr>
          <w:rFonts w:hint="eastAsia" w:ascii="仿宋" w:hAnsi="仿宋" w:eastAsia="仿宋_GB2312" w:cs="Times New Roman"/>
          <w:kern w:val="2"/>
          <w:sz w:val="28"/>
          <w:szCs w:val="21"/>
          <w:lang w:val="en-US" w:eastAsia="zh-CN" w:bidi="ar-SA"/>
        </w:rPr>
      </w:pPr>
      <w:r>
        <w:rPr>
          <w:rFonts w:hint="eastAsia" w:ascii="仿宋" w:hAnsi="仿宋" w:eastAsia="仿宋_GB2312" w:cs="Times New Roman"/>
          <w:kern w:val="2"/>
          <w:sz w:val="28"/>
          <w:szCs w:val="21"/>
          <w:lang w:val="en-US" w:eastAsia="zh-CN" w:bidi="ar-SA"/>
        </w:rPr>
        <w:t>16.工业机器人操作与运维职业技能等级标准</w:t>
      </w:r>
    </w:p>
    <w:p w14:paraId="4DEE8BA7">
      <w:pPr>
        <w:keepNext w:val="0"/>
        <w:keepLines w:val="0"/>
        <w:pageBreakBefore w:val="0"/>
        <w:widowControl w:val="0"/>
        <w:kinsoku/>
        <w:wordWrap/>
        <w:overflowPunct/>
        <w:topLinePunct w:val="0"/>
        <w:autoSpaceDE/>
        <w:autoSpaceDN/>
        <w:bidi w:val="0"/>
        <w:adjustRightInd/>
        <w:snapToGrid/>
        <w:spacing w:line="520" w:lineRule="exact"/>
        <w:ind w:firstLine="600"/>
        <w:contextualSpacing/>
        <w:textAlignment w:val="auto"/>
        <w:rPr>
          <w:rFonts w:hint="eastAsia" w:ascii="楷体" w:hAnsi="楷体" w:eastAsia="楷体" w:cs="楷体"/>
          <w:kern w:val="0"/>
          <w:sz w:val="30"/>
          <w:szCs w:val="30"/>
        </w:rPr>
      </w:pPr>
      <w:r>
        <w:rPr>
          <w:rFonts w:hint="eastAsia" w:ascii="楷体" w:hAnsi="楷体" w:eastAsia="楷体" w:cs="楷体"/>
          <w:kern w:val="0"/>
          <w:sz w:val="30"/>
          <w:szCs w:val="30"/>
        </w:rPr>
        <w:t>（三）专业教学标准</w:t>
      </w:r>
    </w:p>
    <w:p w14:paraId="743A018C">
      <w:pPr>
        <w:keepNext w:val="0"/>
        <w:keepLines w:val="0"/>
        <w:pageBreakBefore w:val="0"/>
        <w:widowControl w:val="0"/>
        <w:kinsoku/>
        <w:wordWrap/>
        <w:overflowPunct/>
        <w:topLinePunct w:val="0"/>
        <w:autoSpaceDE/>
        <w:autoSpaceDN/>
        <w:bidi w:val="0"/>
        <w:adjustRightInd/>
        <w:snapToGrid/>
        <w:spacing w:line="520" w:lineRule="exact"/>
        <w:ind w:firstLine="600"/>
        <w:contextualSpacing/>
        <w:textAlignment w:val="auto"/>
        <w:rPr>
          <w:rFonts w:hint="eastAsia" w:ascii="仿宋" w:hAnsi="仿宋" w:eastAsia="仿宋_GB2312" w:cs="Times New Roman"/>
          <w:kern w:val="2"/>
          <w:sz w:val="28"/>
          <w:szCs w:val="21"/>
          <w:lang w:val="en-US" w:eastAsia="zh-CN" w:bidi="ar-SA"/>
        </w:rPr>
      </w:pPr>
      <w:r>
        <w:rPr>
          <w:rFonts w:hint="eastAsia" w:ascii="仿宋" w:hAnsi="仿宋" w:eastAsia="仿宋_GB2312" w:cs="Times New Roman"/>
          <w:kern w:val="2"/>
          <w:sz w:val="28"/>
          <w:szCs w:val="21"/>
          <w:lang w:val="en-US" w:eastAsia="zh-CN" w:bidi="ar-SA"/>
        </w:rPr>
        <w:t>1.《职业教育专业简介》（2021年版）</w:t>
      </w:r>
    </w:p>
    <w:p w14:paraId="38FEAEB1">
      <w:pPr>
        <w:keepNext w:val="0"/>
        <w:keepLines w:val="0"/>
        <w:pageBreakBefore w:val="0"/>
        <w:widowControl w:val="0"/>
        <w:kinsoku/>
        <w:wordWrap/>
        <w:overflowPunct/>
        <w:topLinePunct w:val="0"/>
        <w:autoSpaceDE/>
        <w:autoSpaceDN/>
        <w:bidi w:val="0"/>
        <w:adjustRightInd/>
        <w:snapToGrid/>
        <w:spacing w:line="520" w:lineRule="exact"/>
        <w:ind w:firstLine="600"/>
        <w:contextualSpacing/>
        <w:textAlignment w:val="auto"/>
        <w:rPr>
          <w:rFonts w:hint="eastAsia" w:ascii="仿宋" w:hAnsi="仿宋" w:eastAsia="仿宋_GB2312" w:cs="Times New Roman"/>
          <w:kern w:val="2"/>
          <w:sz w:val="28"/>
          <w:szCs w:val="21"/>
          <w:lang w:val="en-US" w:eastAsia="zh-CN" w:bidi="ar-SA"/>
        </w:rPr>
      </w:pPr>
      <w:r>
        <w:rPr>
          <w:rFonts w:hint="eastAsia" w:ascii="仿宋" w:hAnsi="仿宋" w:eastAsia="仿宋_GB2312" w:cs="Times New Roman"/>
          <w:kern w:val="2"/>
          <w:sz w:val="28"/>
          <w:szCs w:val="21"/>
          <w:lang w:val="en-US" w:eastAsia="zh-CN" w:bidi="ar-SA"/>
        </w:rPr>
        <w:t>2.《中等职业学校专业教学标准》</w:t>
      </w:r>
    </w:p>
    <w:p w14:paraId="0535523C">
      <w:pPr>
        <w:spacing w:line="480" w:lineRule="exact"/>
        <w:ind w:firstLine="600" w:firstLineChars="200"/>
        <w:contextualSpacing/>
        <w:jc w:val="left"/>
        <w:rPr>
          <w:rFonts w:hint="eastAsia" w:ascii="黑体" w:hAnsi="黑体" w:eastAsia="黑体" w:cs="黑体"/>
          <w:b w:val="0"/>
          <w:bCs/>
          <w:sz w:val="30"/>
          <w:szCs w:val="30"/>
          <w:lang w:eastAsia="zh-CN"/>
        </w:rPr>
      </w:pPr>
      <w:r>
        <w:rPr>
          <w:rFonts w:hint="eastAsia" w:ascii="黑体" w:hAnsi="黑体" w:eastAsia="黑体" w:cs="黑体"/>
          <w:b w:val="0"/>
          <w:bCs/>
          <w:sz w:val="30"/>
          <w:szCs w:val="30"/>
          <w:lang w:val="en-US" w:eastAsia="zh-CN"/>
        </w:rPr>
        <w:t>七</w:t>
      </w:r>
      <w:r>
        <w:rPr>
          <w:rFonts w:hint="eastAsia" w:ascii="黑体" w:hAnsi="黑体" w:eastAsia="黑体" w:cs="黑体"/>
          <w:b w:val="0"/>
          <w:bCs/>
          <w:sz w:val="30"/>
          <w:szCs w:val="30"/>
          <w:lang w:eastAsia="zh-CN"/>
        </w:rPr>
        <w:t>、竞赛环境及技术平台</w:t>
      </w:r>
    </w:p>
    <w:p w14:paraId="3C25AF91">
      <w:pPr>
        <w:keepNext w:val="0"/>
        <w:keepLines w:val="0"/>
        <w:pageBreakBefore w:val="0"/>
        <w:widowControl w:val="0"/>
        <w:kinsoku/>
        <w:wordWrap/>
        <w:overflowPunct/>
        <w:topLinePunct w:val="0"/>
        <w:autoSpaceDE/>
        <w:autoSpaceDN/>
        <w:bidi w:val="0"/>
        <w:adjustRightInd/>
        <w:snapToGrid/>
        <w:spacing w:line="520" w:lineRule="exact"/>
        <w:ind w:firstLine="600"/>
        <w:contextualSpacing/>
        <w:textAlignment w:val="auto"/>
        <w:rPr>
          <w:rFonts w:hint="eastAsia" w:ascii="楷体" w:hAnsi="楷体" w:eastAsia="楷体" w:cs="楷体"/>
          <w:kern w:val="0"/>
          <w:sz w:val="30"/>
          <w:szCs w:val="30"/>
          <w:lang w:val="en-US" w:eastAsia="zh-CN"/>
        </w:rPr>
      </w:pPr>
      <w:r>
        <w:rPr>
          <w:rFonts w:hint="eastAsia" w:ascii="楷体" w:hAnsi="楷体" w:eastAsia="楷体" w:cs="楷体"/>
          <w:kern w:val="0"/>
          <w:sz w:val="30"/>
          <w:szCs w:val="30"/>
          <w:lang w:val="en-US" w:eastAsia="zh-CN"/>
        </w:rPr>
        <w:t>（一）竞赛场地和环境标准</w:t>
      </w:r>
    </w:p>
    <w:p w14:paraId="17960DAC">
      <w:pPr>
        <w:pageBreakBefore w:val="0"/>
        <w:kinsoku/>
        <w:wordWrap/>
        <w:overflowPunct/>
        <w:topLinePunct w:val="0"/>
        <w:autoSpaceDE/>
        <w:autoSpaceDN/>
        <w:bidi w:val="0"/>
        <w:adjustRightInd/>
        <w:snapToGrid/>
        <w:spacing w:line="520" w:lineRule="exact"/>
        <w:textAlignment w:val="auto"/>
        <w:rPr>
          <w:rFonts w:hint="eastAsia" w:ascii="仿宋" w:hAnsi="仿宋" w:eastAsia="仿宋_GB2312" w:cs="Times New Roman"/>
          <w:kern w:val="2"/>
          <w:sz w:val="28"/>
          <w:szCs w:val="21"/>
          <w:lang w:val="en-US" w:eastAsia="zh-CN" w:bidi="ar-SA"/>
        </w:rPr>
      </w:pPr>
      <w:r>
        <w:rPr>
          <w:rFonts w:hint="eastAsia" w:ascii="仿宋" w:hAnsi="仿宋" w:eastAsia="仿宋_GB2312" w:cs="Times New Roman"/>
          <w:kern w:val="2"/>
          <w:sz w:val="28"/>
          <w:szCs w:val="21"/>
          <w:lang w:val="en-US" w:eastAsia="zh-CN" w:bidi="ar-SA"/>
        </w:rPr>
        <w:t>1.竞赛场地平整、明亮、通风良好，每个竞赛工位配备赛项平台1套，凳子2张，专用工具1套（需自带）。</w:t>
      </w:r>
    </w:p>
    <w:p w14:paraId="30B824C3">
      <w:pPr>
        <w:pageBreakBefore w:val="0"/>
        <w:kinsoku/>
        <w:wordWrap/>
        <w:overflowPunct/>
        <w:topLinePunct w:val="0"/>
        <w:autoSpaceDE/>
        <w:autoSpaceDN/>
        <w:bidi w:val="0"/>
        <w:adjustRightInd/>
        <w:snapToGrid/>
        <w:spacing w:line="520" w:lineRule="exact"/>
        <w:textAlignment w:val="auto"/>
        <w:rPr>
          <w:rFonts w:hint="eastAsia" w:ascii="仿宋" w:hAnsi="仿宋" w:eastAsia="仿宋_GB2312" w:cs="Times New Roman"/>
          <w:kern w:val="2"/>
          <w:sz w:val="28"/>
          <w:szCs w:val="21"/>
          <w:lang w:val="en-US" w:eastAsia="zh-CN" w:bidi="ar-SA"/>
        </w:rPr>
      </w:pPr>
      <w:r>
        <w:rPr>
          <w:rFonts w:hint="eastAsia" w:ascii="仿宋" w:hAnsi="仿宋" w:eastAsia="仿宋_GB2312" w:cs="Times New Roman"/>
          <w:kern w:val="2"/>
          <w:sz w:val="28"/>
          <w:szCs w:val="21"/>
          <w:lang w:val="en-US" w:eastAsia="zh-CN" w:bidi="ar-SA"/>
        </w:rPr>
        <w:t>2.单个竞赛工位面积不小于12m2(4m×3m</w:t>
      </w:r>
      <w:r>
        <w:rPr>
          <w:rFonts w:hint="eastAsia" w:cs="Times New Roman"/>
          <w:kern w:val="2"/>
          <w:sz w:val="28"/>
          <w:szCs w:val="21"/>
          <w:lang w:val="en-US" w:eastAsia="zh-CN" w:bidi="ar-SA"/>
        </w:rPr>
        <w:t>）</w:t>
      </w:r>
      <w:r>
        <w:rPr>
          <w:rFonts w:hint="eastAsia" w:ascii="仿宋" w:hAnsi="仿宋" w:eastAsia="仿宋_GB2312" w:cs="Times New Roman"/>
          <w:kern w:val="2"/>
          <w:sz w:val="28"/>
          <w:szCs w:val="21"/>
          <w:lang w:val="en-US" w:eastAsia="zh-CN" w:bidi="ar-SA"/>
        </w:rPr>
        <w:t>，标明竞赛工位号码，有明显区域划分，每个竞赛工位间距不小于1m。</w:t>
      </w:r>
    </w:p>
    <w:p w14:paraId="0036E035">
      <w:pPr>
        <w:pageBreakBefore w:val="0"/>
        <w:kinsoku/>
        <w:wordWrap/>
        <w:overflowPunct/>
        <w:topLinePunct w:val="0"/>
        <w:autoSpaceDE/>
        <w:autoSpaceDN/>
        <w:bidi w:val="0"/>
        <w:adjustRightInd/>
        <w:snapToGrid/>
        <w:spacing w:line="520" w:lineRule="exact"/>
        <w:textAlignment w:val="auto"/>
        <w:rPr>
          <w:rFonts w:hint="eastAsia" w:ascii="仿宋" w:hAnsi="仿宋" w:eastAsia="仿宋_GB2312" w:cs="Times New Roman"/>
          <w:kern w:val="2"/>
          <w:sz w:val="28"/>
          <w:szCs w:val="21"/>
          <w:lang w:val="en-US" w:eastAsia="zh-CN" w:bidi="ar-SA"/>
        </w:rPr>
      </w:pPr>
      <w:r>
        <w:rPr>
          <w:rFonts w:hint="eastAsia" w:ascii="仿宋" w:hAnsi="仿宋" w:eastAsia="仿宋_GB2312" w:cs="Times New Roman"/>
          <w:kern w:val="2"/>
          <w:sz w:val="28"/>
          <w:szCs w:val="21"/>
          <w:lang w:val="en-US" w:eastAsia="zh-CN" w:bidi="ar-SA"/>
        </w:rPr>
        <w:t>3.每个竞赛工位提供220V-5kW供电，包含独立的电源保护装置和安全保护措施。有条件的情况下每个竞赛工位提供稳定的气源接口，压力不小于0.7MPa。</w:t>
      </w:r>
    </w:p>
    <w:p w14:paraId="5C693DBC">
      <w:pPr>
        <w:pageBreakBefore w:val="0"/>
        <w:kinsoku/>
        <w:wordWrap/>
        <w:overflowPunct/>
        <w:topLinePunct w:val="0"/>
        <w:autoSpaceDE/>
        <w:autoSpaceDN/>
        <w:bidi w:val="0"/>
        <w:adjustRightInd/>
        <w:snapToGrid/>
        <w:spacing w:line="520" w:lineRule="exact"/>
        <w:textAlignment w:val="auto"/>
        <w:rPr>
          <w:rFonts w:hint="eastAsia" w:ascii="仿宋" w:hAnsi="仿宋" w:eastAsia="仿宋_GB2312" w:cs="Times New Roman"/>
          <w:kern w:val="2"/>
          <w:sz w:val="28"/>
          <w:szCs w:val="21"/>
          <w:lang w:val="en-US" w:eastAsia="zh-CN" w:bidi="ar-SA"/>
        </w:rPr>
      </w:pPr>
      <w:r>
        <w:rPr>
          <w:rFonts w:hint="eastAsia" w:ascii="仿宋" w:hAnsi="仿宋" w:eastAsia="仿宋_GB2312" w:cs="Times New Roman"/>
          <w:kern w:val="2"/>
          <w:sz w:val="28"/>
          <w:szCs w:val="21"/>
          <w:lang w:val="en-US" w:eastAsia="zh-CN" w:bidi="ar-SA"/>
        </w:rPr>
        <w:t>4.每个竞赛工位提供编程用电脑一台，配置要求CPU为INTELi5同级别或以上，独立显卡，4GB内存及以上，500GB硬盘及以上。</w:t>
      </w:r>
    </w:p>
    <w:p w14:paraId="78CF95A0">
      <w:pPr>
        <w:pageBreakBefore w:val="0"/>
        <w:kinsoku/>
        <w:wordWrap/>
        <w:overflowPunct/>
        <w:topLinePunct w:val="0"/>
        <w:autoSpaceDE/>
        <w:autoSpaceDN/>
        <w:bidi w:val="0"/>
        <w:adjustRightInd/>
        <w:snapToGrid/>
        <w:spacing w:line="520" w:lineRule="exact"/>
        <w:textAlignment w:val="auto"/>
        <w:rPr>
          <w:rFonts w:hint="eastAsia"/>
        </w:rPr>
      </w:pPr>
      <w:r>
        <w:rPr>
          <w:rFonts w:hint="eastAsia"/>
        </w:rPr>
        <w:t>5.赛场设置备用电源。</w:t>
      </w:r>
    </w:p>
    <w:p w14:paraId="203A96F6">
      <w:pPr>
        <w:keepNext w:val="0"/>
        <w:keepLines w:val="0"/>
        <w:pageBreakBefore w:val="0"/>
        <w:widowControl w:val="0"/>
        <w:kinsoku/>
        <w:wordWrap/>
        <w:overflowPunct/>
        <w:topLinePunct w:val="0"/>
        <w:autoSpaceDE/>
        <w:autoSpaceDN/>
        <w:bidi w:val="0"/>
        <w:adjustRightInd/>
        <w:snapToGrid/>
        <w:spacing w:line="520" w:lineRule="exact"/>
        <w:ind w:firstLine="600"/>
        <w:contextualSpacing/>
        <w:textAlignment w:val="auto"/>
        <w:rPr>
          <w:rFonts w:hint="eastAsia" w:ascii="楷体" w:hAnsi="楷体" w:eastAsia="楷体" w:cs="楷体"/>
          <w:kern w:val="0"/>
          <w:sz w:val="30"/>
          <w:szCs w:val="30"/>
          <w:lang w:val="zh-CN"/>
        </w:rPr>
      </w:pPr>
      <w:r>
        <w:rPr>
          <w:rFonts w:hint="eastAsia" w:ascii="楷体" w:hAnsi="楷体" w:eastAsia="楷体" w:cs="楷体"/>
          <w:kern w:val="0"/>
          <w:sz w:val="30"/>
          <w:szCs w:val="30"/>
          <w:lang w:val="zh-CN"/>
        </w:rPr>
        <w:t>（二）竞赛平台功能概述</w:t>
      </w:r>
    </w:p>
    <w:p w14:paraId="05C2A033">
      <w:pPr>
        <w:pageBreakBefore w:val="0"/>
        <w:kinsoku/>
        <w:wordWrap/>
        <w:overflowPunct/>
        <w:topLinePunct w:val="0"/>
        <w:autoSpaceDE/>
        <w:autoSpaceDN/>
        <w:bidi w:val="0"/>
        <w:adjustRightInd/>
        <w:snapToGrid/>
        <w:spacing w:line="520" w:lineRule="exact"/>
        <w:textAlignment w:val="auto"/>
        <w:rPr>
          <w:rFonts w:hint="eastAsia"/>
          <w:lang w:val="zh-CN"/>
        </w:rPr>
      </w:pPr>
      <w:r>
        <w:rPr>
          <w:rFonts w:hint="eastAsia"/>
          <w:lang w:val="zh-CN"/>
        </w:rPr>
        <w:t>机器人技术应用赛项竞赛平台采用北京华航唯实机器人科技股份有限公司提供的CHL-DS-01型工业机器人PCB异形插件工作站作为竞赛平台，如</w:t>
      </w:r>
      <w:r>
        <w:rPr>
          <w:rFonts w:hint="eastAsia"/>
          <w:lang w:eastAsia="zh-CN"/>
        </w:rPr>
        <w:t>图</w:t>
      </w:r>
      <w:r>
        <w:rPr>
          <w:rFonts w:hint="eastAsia"/>
          <w:lang w:val="en-US" w:eastAsia="zh-CN"/>
        </w:rPr>
        <w:t>1</w:t>
      </w:r>
      <w:r>
        <w:rPr>
          <w:rFonts w:hint="eastAsia"/>
          <w:lang w:val="zh-CN"/>
        </w:rPr>
        <w:t>所示。</w:t>
      </w:r>
    </w:p>
    <w:p w14:paraId="663B26E8">
      <w:pPr>
        <w:pStyle w:val="14"/>
      </w:pPr>
      <w:r>
        <w:drawing>
          <wp:inline distT="0" distB="0" distL="114300" distR="114300">
            <wp:extent cx="3183890" cy="2519045"/>
            <wp:effectExtent l="0" t="0" r="16510" b="14605"/>
            <wp:docPr id="39" name="图片 14" descr="D:\华航唯实教育产品\10-E-ROBOT工业机器人职业教育体系\1-产品资料汇总\1-实训设备\5-DS 技能竞赛\CHL-DS-01 工业机器人PCB异形插件工作站\8-图片和视频\大赛设备.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4" descr="D:\华航唯实教育产品\10-E-ROBOT工业机器人职业教育体系\1-产品资料汇总\1-实训设备\5-DS 技能竞赛\CHL-DS-01 工业机器人PCB异形插件工作站\8-图片和视频\大赛设备.png"/>
                    <pic:cNvPicPr>
                      <a:picLocks noChangeAspect="1"/>
                    </pic:cNvPicPr>
                  </pic:nvPicPr>
                  <pic:blipFill>
                    <a:blip r:embed="rId7"/>
                    <a:srcRect t="2118" b="3656"/>
                    <a:stretch>
                      <a:fillRect/>
                    </a:stretch>
                  </pic:blipFill>
                  <pic:spPr>
                    <a:xfrm>
                      <a:off x="0" y="0"/>
                      <a:ext cx="3183890" cy="2519045"/>
                    </a:xfrm>
                    <a:prstGeom prst="rect">
                      <a:avLst/>
                    </a:prstGeom>
                    <a:noFill/>
                    <a:ln>
                      <a:noFill/>
                    </a:ln>
                  </pic:spPr>
                </pic:pic>
              </a:graphicData>
            </a:graphic>
          </wp:inline>
        </w:drawing>
      </w:r>
    </w:p>
    <w:p w14:paraId="3A03EF07">
      <w:pPr>
        <w:pStyle w:val="15"/>
        <w:spacing w:after="163"/>
        <w:rPr>
          <w:lang w:val="zh-CN"/>
        </w:rPr>
      </w:pPr>
      <w:bookmarkStart w:id="0" w:name="_Ref501786615"/>
      <w:bookmarkStart w:id="1" w:name="_Ref468026103"/>
      <w:r>
        <w:rPr>
          <w:rFonts w:hint="eastAsia"/>
        </w:rPr>
        <w:t>图</w:t>
      </w:r>
      <w:bookmarkEnd w:id="0"/>
      <w:bookmarkEnd w:id="1"/>
      <w:r>
        <w:rPr>
          <w:rFonts w:hint="eastAsia"/>
          <w:lang w:val="en-US" w:eastAsia="zh-CN"/>
        </w:rPr>
        <w:t>1</w:t>
      </w:r>
      <w:r>
        <w:rPr>
          <w:rFonts w:hint="eastAsia"/>
          <w:lang w:val="zh-CN"/>
        </w:rPr>
        <w:t>竞赛平台</w:t>
      </w:r>
    </w:p>
    <w:p w14:paraId="5CDABE16">
      <w:pPr>
        <w:keepNext w:val="0"/>
        <w:keepLines w:val="0"/>
        <w:pageBreakBefore w:val="0"/>
        <w:widowControl w:val="0"/>
        <w:kinsoku/>
        <w:wordWrap/>
        <w:overflowPunct/>
        <w:topLinePunct w:val="0"/>
        <w:autoSpaceDE/>
        <w:autoSpaceDN/>
        <w:bidi w:val="0"/>
        <w:adjustRightInd/>
        <w:snapToGrid/>
        <w:spacing w:line="520" w:lineRule="exact"/>
        <w:textAlignment w:val="auto"/>
        <w:rPr>
          <w:lang w:val="zh-CN"/>
        </w:rPr>
      </w:pPr>
      <w:r>
        <w:rPr>
          <w:rFonts w:hint="eastAsia"/>
          <w:lang w:val="zh-CN"/>
        </w:rPr>
        <w:t>竞赛平台</w:t>
      </w:r>
      <w:r>
        <w:rPr>
          <w:rFonts w:hint="eastAsia"/>
        </w:rPr>
        <w:t>以工业机器人为核心，</w:t>
      </w:r>
      <w:r>
        <w:rPr>
          <w:rFonts w:hint="eastAsia"/>
          <w:lang w:val="zh-CN"/>
        </w:rPr>
        <w:t>以</w:t>
      </w:r>
      <w:r>
        <w:rPr>
          <w:lang w:val="zh-CN"/>
        </w:rPr>
        <w:t>3C</w:t>
      </w:r>
      <w:r>
        <w:rPr>
          <w:rFonts w:hint="eastAsia"/>
          <w:lang w:val="zh-CN"/>
        </w:rPr>
        <w:t>行业最典型的异形芯片插件工艺过程为任务主线，包含了涂胶、码垛、分拣、装配等生产流程，</w:t>
      </w:r>
      <w:r>
        <w:rPr>
          <w:rFonts w:hint="eastAsia"/>
        </w:rPr>
        <w:t>实现对电子产品的芯片分拣、装配过程，其中电子产品由</w:t>
      </w:r>
      <w:r>
        <w:t>PCB板、异形芯片、盖板组成。为提高产品复用性和操作趣味性，突出工业机器人及周边设备的操作过程，电</w:t>
      </w:r>
      <w:r>
        <w:rPr>
          <w:rFonts w:hint="eastAsia"/>
        </w:rPr>
        <w:t>子</w:t>
      </w:r>
      <w:r>
        <w:t>产品采用模拟化设计，PCB板</w:t>
      </w:r>
      <w:r>
        <w:rPr>
          <w:rFonts w:hint="eastAsia"/>
        </w:rPr>
        <w:t>为提供多种芯片安装位置的</w:t>
      </w:r>
      <w:r>
        <w:t>真实电路板，异形芯片</w:t>
      </w:r>
      <w:r>
        <w:rPr>
          <w:rFonts w:hint="eastAsia"/>
        </w:rPr>
        <w:t>由</w:t>
      </w:r>
      <w:r>
        <w:t>不</w:t>
      </w:r>
      <w:r>
        <w:rPr>
          <w:rFonts w:hint="eastAsia"/>
        </w:rPr>
        <w:t>同</w:t>
      </w:r>
      <w:r>
        <w:t>形状、不同颜色的</w:t>
      </w:r>
      <w:r>
        <w:rPr>
          <w:rFonts w:hint="eastAsia"/>
        </w:rPr>
        <w:t>料板</w:t>
      </w:r>
      <w:r>
        <w:rPr>
          <w:rFonts w:hint="eastAsia"/>
          <w:lang w:val="zh-CN"/>
        </w:rPr>
        <w:t>代表类型，如图</w:t>
      </w:r>
      <w:r>
        <w:rPr>
          <w:rFonts w:hint="eastAsia"/>
          <w:lang w:val="en-US" w:eastAsia="zh-CN"/>
        </w:rPr>
        <w:t>2</w:t>
      </w:r>
      <w:r>
        <w:rPr>
          <w:rFonts w:hint="eastAsia"/>
          <w:lang w:val="zh-CN"/>
        </w:rPr>
        <w:t>所示</w:t>
      </w:r>
      <w:r>
        <w:t>。</w:t>
      </w:r>
      <w:r>
        <w:rPr>
          <w:rFonts w:hint="eastAsia"/>
          <w:lang w:val="zh-CN"/>
        </w:rPr>
        <w:t>竞赛平台源于工业应用现场的特征，使其既适合作为职业技能竞赛平台，同时也满足了职业院校工业机器人系统操作和编程的教学需求。</w:t>
      </w:r>
    </w:p>
    <w:p w14:paraId="17B7A5D0">
      <w:pPr>
        <w:pStyle w:val="14"/>
      </w:pPr>
      <w:r>
        <w:drawing>
          <wp:inline distT="0" distB="0" distL="114300" distR="114300">
            <wp:extent cx="1800860" cy="1800860"/>
            <wp:effectExtent l="0" t="0" r="8890" b="8890"/>
            <wp:docPr id="40" name="图片 15" descr="D:\华航唯实教育产品\22-技能竞赛\1-全国职业院校技能大赛\2017\赛题库\样题资源\PCB装配\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5" descr="D:\华航唯实教育产品\22-技能竞赛\1-全国职业院校技能大赛\2017\赛题库\样题资源\PCB装配\03-1.jpg"/>
                    <pic:cNvPicPr>
                      <a:picLocks noChangeAspect="1"/>
                    </pic:cNvPicPr>
                  </pic:nvPicPr>
                  <pic:blipFill>
                    <a:blip r:embed="rId8"/>
                    <a:stretch>
                      <a:fillRect/>
                    </a:stretch>
                  </pic:blipFill>
                  <pic:spPr>
                    <a:xfrm>
                      <a:off x="0" y="0"/>
                      <a:ext cx="1800860" cy="1800860"/>
                    </a:xfrm>
                    <a:prstGeom prst="rect">
                      <a:avLst/>
                    </a:prstGeom>
                    <a:noFill/>
                    <a:ln>
                      <a:noFill/>
                    </a:ln>
                  </pic:spPr>
                </pic:pic>
              </a:graphicData>
            </a:graphic>
          </wp:inline>
        </w:drawing>
      </w:r>
      <w:r>
        <w:drawing>
          <wp:inline distT="0" distB="0" distL="114300" distR="114300">
            <wp:extent cx="1800860" cy="1800860"/>
            <wp:effectExtent l="0" t="0" r="8890" b="8890"/>
            <wp:docPr id="41" name="图片 16" descr="D:\华航唯实教育产品\22-技能竞赛\1-全国职业院校技能大赛\2017\赛题库\样题资源\PCB装配\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6" descr="D:\华航唯实教育产品\22-技能竞赛\1-全国职业院校技能大赛\2017\赛题库\样题资源\PCB装配\04-1.jpg"/>
                    <pic:cNvPicPr>
                      <a:picLocks noChangeAspect="1"/>
                    </pic:cNvPicPr>
                  </pic:nvPicPr>
                  <pic:blipFill>
                    <a:blip r:embed="rId9"/>
                    <a:stretch>
                      <a:fillRect/>
                    </a:stretch>
                  </pic:blipFill>
                  <pic:spPr>
                    <a:xfrm>
                      <a:off x="0" y="0"/>
                      <a:ext cx="1800860" cy="1800860"/>
                    </a:xfrm>
                    <a:prstGeom prst="rect">
                      <a:avLst/>
                    </a:prstGeom>
                    <a:noFill/>
                    <a:ln>
                      <a:noFill/>
                    </a:ln>
                  </pic:spPr>
                </pic:pic>
              </a:graphicData>
            </a:graphic>
          </wp:inline>
        </w:drawing>
      </w:r>
    </w:p>
    <w:p w14:paraId="5AA3B5E3">
      <w:pPr>
        <w:pStyle w:val="15"/>
        <w:spacing w:after="163"/>
        <w:rPr>
          <w:lang w:val="zh-CN"/>
        </w:rPr>
      </w:pPr>
      <w:bookmarkStart w:id="2" w:name="_Ref468467398"/>
      <w:bookmarkStart w:id="3" w:name="_Ref501786628"/>
      <w:r>
        <w:rPr>
          <w:rFonts w:hint="eastAsia"/>
        </w:rPr>
        <w:t>图</w:t>
      </w:r>
      <w:bookmarkEnd w:id="2"/>
      <w:r>
        <w:rPr>
          <w:rFonts w:hint="eastAsia"/>
          <w:lang w:val="en-US" w:eastAsia="zh-CN"/>
        </w:rPr>
        <w:t>2</w:t>
      </w:r>
      <w:bookmarkEnd w:id="3"/>
      <w:r>
        <w:rPr>
          <w:rFonts w:hint="eastAsia"/>
        </w:rPr>
        <w:t>异形芯片插件工艺</w:t>
      </w:r>
    </w:p>
    <w:p w14:paraId="4B2A502F">
      <w:pPr>
        <w:keepNext w:val="0"/>
        <w:keepLines w:val="0"/>
        <w:pageBreakBefore w:val="0"/>
        <w:widowControl w:val="0"/>
        <w:kinsoku/>
        <w:wordWrap/>
        <w:overflowPunct/>
        <w:topLinePunct w:val="0"/>
        <w:autoSpaceDE/>
        <w:autoSpaceDN/>
        <w:bidi w:val="0"/>
        <w:adjustRightInd/>
        <w:snapToGrid/>
        <w:spacing w:line="520" w:lineRule="exact"/>
        <w:textAlignment w:val="auto"/>
        <w:rPr>
          <w:lang w:val="zh-CN"/>
        </w:rPr>
      </w:pPr>
      <w:r>
        <w:rPr>
          <w:rFonts w:hint="eastAsia"/>
          <w:lang w:val="zh-CN"/>
        </w:rPr>
        <w:t>竞赛平台选用桌面型小负载串联关节六自由度工业机器人作为核心设备，如图</w:t>
      </w:r>
      <w:r>
        <w:rPr>
          <w:rFonts w:hint="eastAsia"/>
          <w:lang w:val="en-US" w:eastAsia="zh-CN"/>
        </w:rPr>
        <w:t>3</w:t>
      </w:r>
      <w:r>
        <w:rPr>
          <w:rFonts w:hint="eastAsia"/>
          <w:lang w:val="zh-CN"/>
        </w:rPr>
        <w:t>所示，小巧灵活特性使其广泛应用于</w:t>
      </w:r>
      <w:r>
        <w:rPr>
          <w:lang w:val="zh-CN"/>
        </w:rPr>
        <w:t>3C</w:t>
      </w:r>
      <w:r>
        <w:rPr>
          <w:rFonts w:hint="eastAsia"/>
          <w:lang w:val="zh-CN"/>
        </w:rPr>
        <w:t>、电子、食品等行业，同时较小的工作半径和额定负载，在保证功能实现的前提下，可确保教学和竞赛安全，防止发生人员意外。</w:t>
      </w:r>
    </w:p>
    <w:p w14:paraId="539DE30C">
      <w:pPr>
        <w:pStyle w:val="14"/>
        <w:keepNext/>
      </w:pPr>
      <w:r>
        <w:drawing>
          <wp:inline distT="0" distB="0" distL="114300" distR="114300">
            <wp:extent cx="1047115" cy="1791970"/>
            <wp:effectExtent l="0" t="0" r="635" b="17780"/>
            <wp:docPr id="4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7"/>
                    <pic:cNvPicPr>
                      <a:picLocks noChangeAspect="1"/>
                    </pic:cNvPicPr>
                  </pic:nvPicPr>
                  <pic:blipFill>
                    <a:blip r:embed="rId10"/>
                    <a:srcRect l="22647" t="1270" r="22865" b="31230"/>
                    <a:stretch>
                      <a:fillRect/>
                    </a:stretch>
                  </pic:blipFill>
                  <pic:spPr>
                    <a:xfrm>
                      <a:off x="0" y="0"/>
                      <a:ext cx="1047115" cy="1791970"/>
                    </a:xfrm>
                    <a:prstGeom prst="rect">
                      <a:avLst/>
                    </a:prstGeom>
                    <a:noFill/>
                    <a:ln>
                      <a:noFill/>
                    </a:ln>
                  </pic:spPr>
                </pic:pic>
              </a:graphicData>
            </a:graphic>
          </wp:inline>
        </w:drawing>
      </w:r>
      <w:bookmarkStart w:id="17" w:name="_GoBack"/>
      <w:bookmarkEnd w:id="17"/>
    </w:p>
    <w:p w14:paraId="535C3024">
      <w:pPr>
        <w:pStyle w:val="15"/>
        <w:spacing w:after="163"/>
        <w:rPr>
          <w:lang w:val="zh-CN"/>
        </w:rPr>
      </w:pPr>
      <w:bookmarkStart w:id="4" w:name="_Ref501786657"/>
      <w:r>
        <w:rPr>
          <w:rFonts w:hint="eastAsia"/>
        </w:rPr>
        <w:t>图</w:t>
      </w:r>
      <w:bookmarkEnd w:id="4"/>
      <w:bookmarkStart w:id="5" w:name="_Ref468021797"/>
      <w:r>
        <w:rPr>
          <w:rFonts w:hint="eastAsia"/>
          <w:lang w:val="en-US" w:eastAsia="zh-CN"/>
        </w:rPr>
        <w:t>3</w:t>
      </w:r>
      <w:r>
        <w:rPr>
          <w:rFonts w:hint="eastAsia"/>
        </w:rPr>
        <w:t>桌面型小负载串联关节六自由度工业机器人</w:t>
      </w:r>
      <w:bookmarkEnd w:id="5"/>
    </w:p>
    <w:p w14:paraId="09A165D6">
      <w:pPr>
        <w:keepNext w:val="0"/>
        <w:keepLines w:val="0"/>
        <w:pageBreakBefore w:val="0"/>
        <w:widowControl w:val="0"/>
        <w:kinsoku/>
        <w:wordWrap/>
        <w:overflowPunct/>
        <w:topLinePunct w:val="0"/>
        <w:autoSpaceDE/>
        <w:autoSpaceDN/>
        <w:bidi w:val="0"/>
        <w:adjustRightInd/>
        <w:snapToGrid/>
        <w:spacing w:line="520" w:lineRule="exact"/>
        <w:textAlignment w:val="auto"/>
        <w:rPr>
          <w:lang w:val="zh-CN"/>
        </w:rPr>
      </w:pPr>
      <w:r>
        <w:rPr>
          <w:rFonts w:hint="eastAsia"/>
          <w:lang w:val="zh-CN"/>
        </w:rPr>
        <w:t>快换工具根据所实现的工艺不同，分为涂胶工具、夹爪工具、吸盘工具和锁螺丝工具，通过工具快换系统实现工业机器人对不同应用工具的快速更换，气路信号可自动接通，同时保证工具更换后的位置精度，如图</w:t>
      </w:r>
      <w:r>
        <w:rPr>
          <w:rFonts w:hint="eastAsia"/>
          <w:lang w:val="en-US" w:eastAsia="zh-CN"/>
        </w:rPr>
        <w:t>4</w:t>
      </w:r>
      <w:r>
        <w:rPr>
          <w:rFonts w:hint="eastAsia"/>
          <w:lang w:val="zh-CN"/>
        </w:rPr>
        <w:t>所示。</w:t>
      </w:r>
    </w:p>
    <w:p w14:paraId="19DFC454">
      <w:pPr>
        <w:pStyle w:val="14"/>
        <w:keepNext/>
      </w:pPr>
      <w:r>
        <w:drawing>
          <wp:inline distT="0" distB="0" distL="114300" distR="114300">
            <wp:extent cx="5399405" cy="1174115"/>
            <wp:effectExtent l="0" t="0" r="67945" b="0"/>
            <wp:docPr id="44" name="图示 4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14:paraId="450CB033">
      <w:pPr>
        <w:pStyle w:val="15"/>
        <w:spacing w:after="163"/>
        <w:rPr>
          <w:lang w:val="zh-CN"/>
        </w:rPr>
      </w:pPr>
      <w:bookmarkStart w:id="6" w:name="_Ref501786676"/>
      <w:r>
        <w:rPr>
          <w:rFonts w:hint="eastAsia"/>
        </w:rPr>
        <w:t>图</w:t>
      </w:r>
      <w:r>
        <w:rPr>
          <w:rFonts w:hint="eastAsia"/>
          <w:lang w:val="en-US" w:eastAsia="zh-CN"/>
        </w:rPr>
        <w:t>4</w:t>
      </w:r>
      <w:bookmarkEnd w:id="6"/>
      <w:r>
        <w:rPr>
          <w:rFonts w:hint="eastAsia"/>
        </w:rPr>
        <w:t>多种工艺工具</w:t>
      </w:r>
    </w:p>
    <w:p w14:paraId="2DBE49E9">
      <w:pPr>
        <w:keepNext w:val="0"/>
        <w:keepLines w:val="0"/>
        <w:pageBreakBefore w:val="0"/>
        <w:widowControl w:val="0"/>
        <w:kinsoku/>
        <w:wordWrap/>
        <w:overflowPunct/>
        <w:topLinePunct w:val="0"/>
        <w:autoSpaceDE/>
        <w:autoSpaceDN/>
        <w:bidi w:val="0"/>
        <w:adjustRightInd/>
        <w:snapToGrid/>
        <w:spacing w:line="520" w:lineRule="exact"/>
        <w:textAlignment w:val="auto"/>
        <w:rPr>
          <w:lang w:val="zh-CN"/>
        </w:rPr>
      </w:pPr>
      <w:r>
        <w:rPr>
          <w:rFonts w:hint="eastAsia"/>
          <w:lang w:val="zh-CN"/>
        </w:rPr>
        <w:t>涂胶模块是将工业机器人对产品装配前的涂胶工艺进行功能抽象化，工业机器人抓持涂胶工具沿面板上不同产品外轮廓轨迹模拟工艺过程，如</w:t>
      </w:r>
      <w:r>
        <w:fldChar w:fldCharType="begin"/>
      </w:r>
      <w:r>
        <w:rPr>
          <w:lang w:val="zh-CN"/>
        </w:rPr>
        <w:instrText xml:space="preserve"> </w:instrText>
      </w:r>
      <w:r>
        <w:rPr>
          <w:rFonts w:hint="eastAsia"/>
          <w:lang w:val="zh-CN"/>
        </w:rPr>
        <w:instrText xml:space="preserve">REF _Ref501786701 \h</w:instrText>
      </w:r>
      <w:r>
        <w:rPr>
          <w:lang w:val="zh-CN"/>
        </w:rPr>
        <w:instrText xml:space="preserve"> </w:instrText>
      </w:r>
      <w:r>
        <w:instrText xml:space="preserve"> \* MERGEFORMAT </w:instrText>
      </w:r>
      <w:r>
        <w:fldChar w:fldCharType="separate"/>
      </w:r>
      <w:r>
        <w:rPr>
          <w:rFonts w:hint="eastAsia"/>
        </w:rPr>
        <w:t>图</w:t>
      </w:r>
      <w:r>
        <w:fldChar w:fldCharType="end"/>
      </w:r>
      <w:r>
        <w:rPr>
          <w:rFonts w:hint="eastAsia"/>
          <w:lang w:val="en-US" w:eastAsia="zh-CN"/>
        </w:rPr>
        <w:t>5</w:t>
      </w:r>
      <w:r>
        <w:rPr>
          <w:rFonts w:hint="eastAsia"/>
          <w:lang w:val="zh-CN"/>
        </w:rPr>
        <w:t>所示，保证工艺真实性同时增加教学性和趣味性。</w:t>
      </w:r>
    </w:p>
    <w:p w14:paraId="57091649">
      <w:pPr>
        <w:pStyle w:val="14"/>
        <w:keepNext/>
      </w:pPr>
      <w:r>
        <w:drawing>
          <wp:inline distT="0" distB="0" distL="114300" distR="114300">
            <wp:extent cx="4319270" cy="2407285"/>
            <wp:effectExtent l="0" t="0" r="5080" b="12065"/>
            <wp:docPr id="45" name="图片 20" descr="D:\华航唯实教育产品\22-技能竞赛\1-全国职业院校技能大赛\2017\赛题库\样题资源\涂胶单元-编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20" descr="D:\华航唯实教育产品\22-技能竞赛\1-全国职业院校技能大赛\2017\赛题库\样题资源\涂胶单元-编号.JPG"/>
                    <pic:cNvPicPr>
                      <a:picLocks noChangeAspect="1"/>
                    </pic:cNvPicPr>
                  </pic:nvPicPr>
                  <pic:blipFill>
                    <a:blip r:embed="rId16"/>
                    <a:stretch>
                      <a:fillRect/>
                    </a:stretch>
                  </pic:blipFill>
                  <pic:spPr>
                    <a:xfrm>
                      <a:off x="0" y="0"/>
                      <a:ext cx="4319270" cy="2407285"/>
                    </a:xfrm>
                    <a:prstGeom prst="rect">
                      <a:avLst/>
                    </a:prstGeom>
                    <a:noFill/>
                    <a:ln>
                      <a:noFill/>
                    </a:ln>
                  </pic:spPr>
                </pic:pic>
              </a:graphicData>
            </a:graphic>
          </wp:inline>
        </w:drawing>
      </w:r>
    </w:p>
    <w:p w14:paraId="2A828306">
      <w:pPr>
        <w:pStyle w:val="15"/>
        <w:spacing w:after="163"/>
        <w:rPr>
          <w:lang w:val="zh-CN"/>
        </w:rPr>
      </w:pPr>
      <w:bookmarkStart w:id="7" w:name="_Ref501786701"/>
      <w:r>
        <w:rPr>
          <w:rFonts w:hint="eastAsia"/>
        </w:rPr>
        <w:t>图</w:t>
      </w:r>
      <w:r>
        <w:rPr>
          <w:rFonts w:hint="eastAsia"/>
          <w:lang w:val="en-US" w:eastAsia="zh-CN"/>
        </w:rPr>
        <w:t>5</w:t>
      </w:r>
      <w:bookmarkEnd w:id="7"/>
      <w:r>
        <w:rPr>
          <w:rFonts w:hint="eastAsia"/>
        </w:rPr>
        <w:t>涂胶模块</w:t>
      </w:r>
    </w:p>
    <w:p w14:paraId="734EF2BA">
      <w:pPr>
        <w:keepNext w:val="0"/>
        <w:keepLines w:val="0"/>
        <w:pageBreakBefore w:val="0"/>
        <w:widowControl w:val="0"/>
        <w:kinsoku/>
        <w:wordWrap/>
        <w:overflowPunct/>
        <w:topLinePunct w:val="0"/>
        <w:autoSpaceDE/>
        <w:autoSpaceDN/>
        <w:bidi w:val="0"/>
        <w:adjustRightInd/>
        <w:snapToGrid/>
        <w:spacing w:line="520" w:lineRule="exact"/>
        <w:textAlignment w:val="auto"/>
        <w:rPr>
          <w:lang w:val="zh-CN"/>
        </w:rPr>
      </w:pPr>
      <w:r>
        <w:rPr>
          <w:rFonts w:hint="eastAsia"/>
          <w:lang w:val="zh-CN"/>
        </w:rPr>
        <w:t>码垛模块是将工业机器人对产品搬运码垛工艺进行功能抽象化，工业机器人抓持夹爪工具将已完成生产的方形产品由原料台按照要求搬运码垛到指定位置，如图</w:t>
      </w:r>
      <w:r>
        <w:rPr>
          <w:rFonts w:hint="eastAsia"/>
          <w:lang w:val="en-US" w:eastAsia="zh-CN"/>
        </w:rPr>
        <w:t>6</w:t>
      </w:r>
      <w:r>
        <w:rPr>
          <w:rFonts w:hint="eastAsia"/>
          <w:lang w:val="zh-CN"/>
        </w:rPr>
        <w:t>所示，教学和竞赛时可对码垛形式和包装盒的位置姿态都作出要求，且码垛物料可在平台A、B间互相转换。</w:t>
      </w:r>
    </w:p>
    <w:p w14:paraId="3BD33903">
      <w:pPr>
        <w:pStyle w:val="14"/>
        <w:keepNext/>
      </w:pPr>
      <w:r>
        <w:rPr>
          <w:rFonts w:ascii="宋体" w:hAnsi="宋体" w:eastAsia="宋体"/>
        </w:rPr>
        <w:drawing>
          <wp:inline distT="0" distB="0" distL="114300" distR="114300">
            <wp:extent cx="4318635" cy="2165350"/>
            <wp:effectExtent l="0" t="0" r="5715" b="6350"/>
            <wp:docPr id="4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21"/>
                    <pic:cNvPicPr>
                      <a:picLocks noChangeAspect="1"/>
                    </pic:cNvPicPr>
                  </pic:nvPicPr>
                  <pic:blipFill>
                    <a:blip r:embed="rId17"/>
                    <a:srcRect b="7771"/>
                    <a:stretch>
                      <a:fillRect/>
                    </a:stretch>
                  </pic:blipFill>
                  <pic:spPr>
                    <a:xfrm>
                      <a:off x="0" y="0"/>
                      <a:ext cx="4318635" cy="2165350"/>
                    </a:xfrm>
                    <a:prstGeom prst="rect">
                      <a:avLst/>
                    </a:prstGeom>
                    <a:noFill/>
                    <a:ln>
                      <a:noFill/>
                    </a:ln>
                  </pic:spPr>
                </pic:pic>
              </a:graphicData>
            </a:graphic>
          </wp:inline>
        </w:drawing>
      </w:r>
    </w:p>
    <w:p w14:paraId="5BAB08DA">
      <w:pPr>
        <w:pStyle w:val="15"/>
        <w:spacing w:after="163"/>
        <w:rPr>
          <w:lang w:val="zh-CN"/>
        </w:rPr>
      </w:pPr>
      <w:bookmarkStart w:id="8" w:name="_Ref501786728"/>
      <w:r>
        <w:rPr>
          <w:rFonts w:hint="eastAsia"/>
        </w:rPr>
        <w:t>图</w:t>
      </w:r>
      <w:bookmarkEnd w:id="8"/>
      <w:r>
        <w:rPr>
          <w:rFonts w:hint="eastAsia"/>
          <w:lang w:val="en-US" w:eastAsia="zh-CN"/>
        </w:rPr>
        <w:t>6</w:t>
      </w:r>
      <w:r>
        <w:rPr>
          <w:rFonts w:hint="eastAsia"/>
        </w:rPr>
        <w:t>码垛模块</w:t>
      </w:r>
    </w:p>
    <w:p w14:paraId="23C42415">
      <w:pPr>
        <w:keepNext w:val="0"/>
        <w:keepLines w:val="0"/>
        <w:pageBreakBefore w:val="0"/>
        <w:widowControl w:val="0"/>
        <w:kinsoku/>
        <w:wordWrap/>
        <w:overflowPunct/>
        <w:topLinePunct w:val="0"/>
        <w:autoSpaceDE/>
        <w:autoSpaceDN/>
        <w:bidi w:val="0"/>
        <w:adjustRightInd/>
        <w:snapToGrid/>
        <w:spacing w:line="520" w:lineRule="exact"/>
        <w:textAlignment w:val="auto"/>
        <w:rPr>
          <w:lang w:val="zh-CN"/>
        </w:rPr>
      </w:pPr>
      <w:r>
        <w:rPr>
          <w:rFonts w:hint="eastAsia"/>
          <w:lang w:val="zh-CN"/>
        </w:rPr>
        <w:t>异形芯片原料单元用于存放异形芯片，异形芯片装配单元提供多个装配工位，如图</w:t>
      </w:r>
      <w:r>
        <w:rPr>
          <w:rFonts w:hint="eastAsia"/>
          <w:lang w:val="en-US" w:eastAsia="zh-CN"/>
        </w:rPr>
        <w:t>7</w:t>
      </w:r>
      <w:r>
        <w:rPr>
          <w:rFonts w:hint="eastAsia"/>
          <w:lang w:val="zh-CN"/>
        </w:rPr>
        <w:t>所示，可放置不同产品，对芯片种类、数量的要求不一，需要工业机器人根据要求从异形芯片原料单元中选取所需的芯片后放置到指定位置，在完成所有芯片的安装后，为产品安放盖板并锁紧固定螺丝。</w:t>
      </w:r>
    </w:p>
    <w:p w14:paraId="35E3DD99">
      <w:pPr>
        <w:pStyle w:val="14"/>
        <w:keepNext/>
      </w:pPr>
      <w:r>
        <w:rPr>
          <w:rFonts w:ascii="宋体" w:hAnsi="宋体" w:eastAsia="宋体"/>
        </w:rPr>
        <w:drawing>
          <wp:inline distT="0" distB="0" distL="114300" distR="114300">
            <wp:extent cx="2909570" cy="1440180"/>
            <wp:effectExtent l="0" t="0" r="5080" b="7620"/>
            <wp:docPr id="4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22"/>
                    <pic:cNvPicPr>
                      <a:picLocks noChangeAspect="1"/>
                    </pic:cNvPicPr>
                  </pic:nvPicPr>
                  <pic:blipFill>
                    <a:blip r:embed="rId18"/>
                    <a:srcRect t="8047" b="9399"/>
                    <a:stretch>
                      <a:fillRect/>
                    </a:stretch>
                  </pic:blipFill>
                  <pic:spPr>
                    <a:xfrm>
                      <a:off x="0" y="0"/>
                      <a:ext cx="2909570" cy="1440180"/>
                    </a:xfrm>
                    <a:prstGeom prst="rect">
                      <a:avLst/>
                    </a:prstGeom>
                    <a:noFill/>
                    <a:ln>
                      <a:noFill/>
                    </a:ln>
                  </pic:spPr>
                </pic:pic>
              </a:graphicData>
            </a:graphic>
          </wp:inline>
        </w:drawing>
      </w:r>
      <w:r>
        <w:drawing>
          <wp:inline distT="0" distB="0" distL="114300" distR="114300">
            <wp:extent cx="1631950" cy="1440180"/>
            <wp:effectExtent l="0" t="0" r="6350" b="7620"/>
            <wp:docPr id="48" name="图片 23" descr="D:\华航唯实教育产品\22-技能竞赛\1-全国职业院校技能大赛\2017\赛题库\国赛赛题\资料\检测工位.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23" descr="D:\华航唯实教育产品\22-技能竞赛\1-全国职业院校技能大赛\2017\赛题库\国赛赛题\资料\检测工位.JPG"/>
                    <pic:cNvPicPr>
                      <a:picLocks noChangeAspect="1"/>
                    </pic:cNvPicPr>
                  </pic:nvPicPr>
                  <pic:blipFill>
                    <a:blip r:embed="rId19"/>
                    <a:srcRect l="32079" t="11137" r="21703" b="5315"/>
                    <a:stretch>
                      <a:fillRect/>
                    </a:stretch>
                  </pic:blipFill>
                  <pic:spPr>
                    <a:xfrm>
                      <a:off x="0" y="0"/>
                      <a:ext cx="1631950" cy="1440180"/>
                    </a:xfrm>
                    <a:prstGeom prst="rect">
                      <a:avLst/>
                    </a:prstGeom>
                    <a:noFill/>
                    <a:ln>
                      <a:noFill/>
                    </a:ln>
                  </pic:spPr>
                </pic:pic>
              </a:graphicData>
            </a:graphic>
          </wp:inline>
        </w:drawing>
      </w:r>
    </w:p>
    <w:p w14:paraId="3D90AEC2">
      <w:pPr>
        <w:pStyle w:val="15"/>
        <w:spacing w:after="163"/>
        <w:rPr>
          <w:lang w:val="zh-CN"/>
        </w:rPr>
      </w:pPr>
      <w:bookmarkStart w:id="9" w:name="_Ref501786746"/>
      <w:r>
        <w:rPr>
          <w:rFonts w:hint="eastAsia"/>
        </w:rPr>
        <w:t>图</w:t>
      </w:r>
      <w:r>
        <w:rPr>
          <w:rFonts w:hint="eastAsia"/>
          <w:lang w:val="en-US" w:eastAsia="zh-CN"/>
        </w:rPr>
        <w:t>7</w:t>
      </w:r>
      <w:bookmarkEnd w:id="9"/>
      <w:r>
        <w:rPr>
          <w:rFonts w:hint="eastAsia"/>
        </w:rPr>
        <w:t>异形芯片原料单元及异形芯片装配单元</w:t>
      </w:r>
    </w:p>
    <w:p w14:paraId="58F50167">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lang w:val="zh-CN"/>
        </w:rPr>
      </w:pPr>
      <w:r>
        <w:rPr>
          <w:rFonts w:hint="eastAsia"/>
          <w:lang w:val="zh-CN"/>
        </w:rPr>
        <w:t>视觉检测组件可以对工业机器人所选取的芯片颜色、形状、位置等信息进行检测和提取，如</w:t>
      </w:r>
      <w:r>
        <w:rPr>
          <w:rFonts w:hint="eastAsia"/>
          <w:lang w:val="zh-CN"/>
        </w:rPr>
        <w:fldChar w:fldCharType="begin"/>
      </w:r>
      <w:r>
        <w:rPr>
          <w:rFonts w:hint="eastAsia"/>
          <w:lang w:val="zh-CN"/>
        </w:rPr>
        <w:instrText xml:space="preserve"> REF _Ref501786762 \h </w:instrText>
      </w:r>
      <w:r>
        <w:rPr>
          <w:rFonts w:hint="eastAsia"/>
          <w:lang w:val="zh-CN"/>
        </w:rPr>
        <w:fldChar w:fldCharType="separate"/>
      </w:r>
      <w:r>
        <w:rPr>
          <w:rFonts w:hint="eastAsia"/>
          <w:lang w:val="zh-CN"/>
        </w:rPr>
        <w:t>图</w:t>
      </w:r>
      <w:r>
        <w:rPr>
          <w:rFonts w:hint="eastAsia"/>
          <w:lang w:val="zh-CN"/>
        </w:rPr>
        <w:fldChar w:fldCharType="end"/>
      </w:r>
      <w:r>
        <w:rPr>
          <w:rFonts w:hint="eastAsia"/>
          <w:lang w:val="en-US" w:eastAsia="zh-CN"/>
        </w:rPr>
        <w:t>8</w:t>
      </w:r>
      <w:r>
        <w:rPr>
          <w:rFonts w:hint="eastAsia"/>
          <w:lang w:val="zh-CN"/>
        </w:rPr>
        <w:t>所示，并将检测结果传输给工业机器人，使其完成后续分拣和装配工作。</w:t>
      </w:r>
    </w:p>
    <w:p w14:paraId="2FA14B1C">
      <w:pPr>
        <w:pStyle w:val="14"/>
        <w:keepNext/>
      </w:pPr>
      <w:r>
        <w:drawing>
          <wp:inline distT="0" distB="0" distL="114300" distR="114300">
            <wp:extent cx="1426845" cy="1905000"/>
            <wp:effectExtent l="0" t="0" r="1905" b="0"/>
            <wp:docPr id="49" name="图片 24" descr="C:\Users\Tan\Desktop\新建文件夹\IMG_22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24" descr="C:\Users\Tan\Desktop\新建文件夹\IMG_2267.JPG"/>
                    <pic:cNvPicPr>
                      <a:picLocks noChangeAspect="1"/>
                    </pic:cNvPicPr>
                  </pic:nvPicPr>
                  <pic:blipFill>
                    <a:blip r:embed="rId20"/>
                    <a:stretch>
                      <a:fillRect/>
                    </a:stretch>
                  </pic:blipFill>
                  <pic:spPr>
                    <a:xfrm>
                      <a:off x="0" y="0"/>
                      <a:ext cx="1426845" cy="1905000"/>
                    </a:xfrm>
                    <a:prstGeom prst="rect">
                      <a:avLst/>
                    </a:prstGeom>
                    <a:noFill/>
                    <a:ln>
                      <a:noFill/>
                    </a:ln>
                  </pic:spPr>
                </pic:pic>
              </a:graphicData>
            </a:graphic>
          </wp:inline>
        </w:drawing>
      </w:r>
    </w:p>
    <w:p w14:paraId="0232911C">
      <w:pPr>
        <w:pStyle w:val="15"/>
        <w:spacing w:after="163"/>
      </w:pPr>
      <w:bookmarkStart w:id="10" w:name="_Ref501786762"/>
      <w:r>
        <w:rPr>
          <w:rFonts w:hint="eastAsia"/>
        </w:rPr>
        <w:t>图</w:t>
      </w:r>
      <w:r>
        <w:rPr>
          <w:rFonts w:hint="eastAsia"/>
          <w:lang w:val="en-US" w:eastAsia="zh-CN"/>
        </w:rPr>
        <w:t>8</w:t>
      </w:r>
      <w:bookmarkEnd w:id="10"/>
      <w:r>
        <w:rPr>
          <w:rFonts w:hint="eastAsia"/>
        </w:rPr>
        <w:t>视觉检测组件</w:t>
      </w:r>
    </w:p>
    <w:p w14:paraId="7FDA9AC1">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lang w:val="zh-CN"/>
        </w:rPr>
      </w:pPr>
      <w:r>
        <w:rPr>
          <w:rFonts w:hint="eastAsia"/>
          <w:lang w:val="zh-CN"/>
        </w:rPr>
        <w:t>螺丝供料单元采用全自动设计，旋转式分料设计节省了设备空间，提高了螺丝供给速度，同时减少了机器振动，保证了稳定的螺丝供料和取料效果，如</w:t>
      </w:r>
      <w:r>
        <w:rPr>
          <w:rFonts w:hint="eastAsia"/>
          <w:lang w:val="zh-CN"/>
        </w:rPr>
        <w:fldChar w:fldCharType="begin"/>
      </w:r>
      <w:r>
        <w:rPr>
          <w:rFonts w:hint="eastAsia"/>
          <w:lang w:val="zh-CN"/>
        </w:rPr>
        <w:instrText xml:space="preserve"> REF _Ref501786777 \h </w:instrText>
      </w:r>
      <w:r>
        <w:rPr>
          <w:rFonts w:hint="eastAsia"/>
          <w:lang w:val="zh-CN"/>
        </w:rPr>
        <w:fldChar w:fldCharType="separate"/>
      </w:r>
      <w:r>
        <w:rPr>
          <w:rFonts w:hint="eastAsia"/>
          <w:lang w:val="zh-CN"/>
        </w:rPr>
        <w:t>图</w:t>
      </w:r>
      <w:r>
        <w:rPr>
          <w:rFonts w:hint="eastAsia"/>
          <w:lang w:val="zh-CN"/>
        </w:rPr>
        <w:fldChar w:fldCharType="end"/>
      </w:r>
      <w:r>
        <w:rPr>
          <w:rFonts w:hint="eastAsia"/>
          <w:lang w:val="en-US" w:eastAsia="zh-CN"/>
        </w:rPr>
        <w:t>9</w:t>
      </w:r>
      <w:r>
        <w:rPr>
          <w:rFonts w:hint="eastAsia"/>
          <w:lang w:val="zh-CN"/>
        </w:rPr>
        <w:t>所示。</w:t>
      </w:r>
    </w:p>
    <w:p w14:paraId="1F402CAC">
      <w:pPr>
        <w:pStyle w:val="14"/>
      </w:pPr>
      <w:r>
        <w:drawing>
          <wp:inline distT="0" distB="0" distL="114300" distR="114300">
            <wp:extent cx="2457450" cy="1845945"/>
            <wp:effectExtent l="0" t="0" r="0" b="1905"/>
            <wp:docPr id="50" name="图片 25" descr="C:\Users\Tan\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25" descr="C:\Users\Tan\Desktop\1.jpg"/>
                    <pic:cNvPicPr>
                      <a:picLocks noChangeAspect="1"/>
                    </pic:cNvPicPr>
                  </pic:nvPicPr>
                  <pic:blipFill>
                    <a:blip r:embed="rId21"/>
                    <a:stretch>
                      <a:fillRect/>
                    </a:stretch>
                  </pic:blipFill>
                  <pic:spPr>
                    <a:xfrm>
                      <a:off x="0" y="0"/>
                      <a:ext cx="2457450" cy="1845945"/>
                    </a:xfrm>
                    <a:prstGeom prst="rect">
                      <a:avLst/>
                    </a:prstGeom>
                    <a:noFill/>
                    <a:ln>
                      <a:noFill/>
                    </a:ln>
                  </pic:spPr>
                </pic:pic>
              </a:graphicData>
            </a:graphic>
          </wp:inline>
        </w:drawing>
      </w:r>
    </w:p>
    <w:p w14:paraId="18CD9381">
      <w:pPr>
        <w:pStyle w:val="15"/>
        <w:spacing w:after="163"/>
      </w:pPr>
      <w:bookmarkStart w:id="11" w:name="_Ref501786777"/>
      <w:bookmarkStart w:id="12" w:name="_Ref490837952"/>
      <w:r>
        <w:rPr>
          <w:rFonts w:hint="eastAsia"/>
        </w:rPr>
        <w:t>图</w:t>
      </w:r>
      <w:bookmarkEnd w:id="11"/>
      <w:bookmarkEnd w:id="12"/>
      <w:r>
        <w:rPr>
          <w:rFonts w:hint="eastAsia"/>
          <w:lang w:val="en-US" w:eastAsia="zh-CN"/>
        </w:rPr>
        <w:t>9</w:t>
      </w:r>
      <w:r>
        <w:rPr>
          <w:rFonts w:hint="eastAsia"/>
        </w:rPr>
        <w:t>螺丝供料单元</w:t>
      </w:r>
    </w:p>
    <w:p w14:paraId="05D3F037">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lang w:val="zh-CN"/>
        </w:rPr>
      </w:pPr>
      <w:r>
        <w:rPr>
          <w:rFonts w:hint="eastAsia"/>
          <w:lang w:val="zh-CN"/>
        </w:rPr>
        <w:t>竞赛平台深度集成了离线编程技术，软件不仅包含硬件平台的三维模型资源，还大大简化了涂胶及搬运码垛工艺实现的编程过程，提高轨迹复现精度，避免发生碰撞干涉。离线编程软件可同时支持多种工业机器人的离线编程，如</w:t>
      </w:r>
      <w:r>
        <w:rPr>
          <w:rFonts w:hint="eastAsia"/>
          <w:lang w:val="zh-CN"/>
        </w:rPr>
        <w:fldChar w:fldCharType="begin"/>
      </w:r>
      <w:r>
        <w:rPr>
          <w:rFonts w:hint="eastAsia"/>
          <w:lang w:val="zh-CN"/>
        </w:rPr>
        <w:instrText xml:space="preserve"> REF _Ref501786785 \h  \* MERGEFORMAT </w:instrText>
      </w:r>
      <w:r>
        <w:rPr>
          <w:rFonts w:hint="eastAsia"/>
          <w:lang w:val="zh-CN"/>
        </w:rPr>
        <w:fldChar w:fldCharType="separate"/>
      </w:r>
      <w:r>
        <w:rPr>
          <w:rFonts w:hint="eastAsia"/>
          <w:lang w:val="zh-CN"/>
        </w:rPr>
        <w:t>图</w:t>
      </w:r>
      <w:r>
        <w:rPr>
          <w:rFonts w:hint="eastAsia"/>
          <w:lang w:val="en-US" w:eastAsia="zh-CN"/>
        </w:rPr>
        <w:t>1</w:t>
      </w:r>
      <w:r>
        <w:rPr>
          <w:rFonts w:hint="eastAsia"/>
          <w:lang w:val="zh-CN"/>
        </w:rPr>
        <w:fldChar w:fldCharType="end"/>
      </w:r>
      <w:r>
        <w:rPr>
          <w:rFonts w:hint="eastAsia"/>
          <w:lang w:val="en-US" w:eastAsia="zh-CN"/>
        </w:rPr>
        <w:t>0</w:t>
      </w:r>
      <w:r>
        <w:rPr>
          <w:rFonts w:hint="eastAsia"/>
          <w:lang w:val="zh-CN"/>
        </w:rPr>
        <w:t>所示，集成了计算机三维实体显示、系统仿真、智能轨迹优化、运动控制代码生成等核心技术，可实现复杂轨迹的高精度生成和复现，在计算机上完成轨迹设计、规划、运动仿真、碰撞检查、姿态优化，最后直接生成工业机器人控制器所需的执行运动代码，缩短了工业机器人的编程调试时间。</w:t>
      </w:r>
    </w:p>
    <w:p w14:paraId="4D01CD1F">
      <w:pPr>
        <w:pStyle w:val="14"/>
      </w:pPr>
      <w:r>
        <w:drawing>
          <wp:inline distT="0" distB="0" distL="114300" distR="114300">
            <wp:extent cx="3709670" cy="2232660"/>
            <wp:effectExtent l="0" t="0" r="5080" b="15240"/>
            <wp:docPr id="51" name="图片 26" descr="屏幕剪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26" descr="屏幕剪辑"/>
                    <pic:cNvPicPr>
                      <a:picLocks noChangeAspect="1"/>
                    </pic:cNvPicPr>
                  </pic:nvPicPr>
                  <pic:blipFill>
                    <a:blip r:embed="rId22"/>
                    <a:stretch>
                      <a:fillRect/>
                    </a:stretch>
                  </pic:blipFill>
                  <pic:spPr>
                    <a:xfrm>
                      <a:off x="0" y="0"/>
                      <a:ext cx="3709670" cy="2232660"/>
                    </a:xfrm>
                    <a:prstGeom prst="rect">
                      <a:avLst/>
                    </a:prstGeom>
                    <a:noFill/>
                    <a:ln>
                      <a:noFill/>
                    </a:ln>
                  </pic:spPr>
                </pic:pic>
              </a:graphicData>
            </a:graphic>
          </wp:inline>
        </w:drawing>
      </w:r>
    </w:p>
    <w:p w14:paraId="3057B95E">
      <w:pPr>
        <w:pStyle w:val="15"/>
        <w:spacing w:after="163"/>
      </w:pPr>
      <w:bookmarkStart w:id="13" w:name="_Ref490838008"/>
      <w:bookmarkStart w:id="14" w:name="_Ref501786785"/>
      <w:r>
        <w:rPr>
          <w:rFonts w:hint="eastAsia"/>
        </w:rPr>
        <w:t>图</w:t>
      </w:r>
      <w:bookmarkEnd w:id="13"/>
      <w:bookmarkEnd w:id="14"/>
      <w:r>
        <w:rPr>
          <w:rFonts w:hint="eastAsia"/>
          <w:lang w:val="en-US" w:eastAsia="zh-CN"/>
        </w:rPr>
        <w:t>10</w:t>
      </w:r>
      <w:r>
        <w:rPr>
          <w:rFonts w:hint="eastAsia"/>
        </w:rPr>
        <w:t>RobotArt工业机器人离线编程软件竞赛版</w:t>
      </w:r>
    </w:p>
    <w:p w14:paraId="00FBC236">
      <w:pPr>
        <w:keepNext w:val="0"/>
        <w:keepLines w:val="0"/>
        <w:pageBreakBefore w:val="0"/>
        <w:widowControl w:val="0"/>
        <w:kinsoku/>
        <w:wordWrap/>
        <w:overflowPunct/>
        <w:topLinePunct w:val="0"/>
        <w:autoSpaceDE/>
        <w:autoSpaceDN/>
        <w:bidi w:val="0"/>
        <w:adjustRightInd/>
        <w:snapToGrid/>
        <w:spacing w:line="520" w:lineRule="exact"/>
        <w:ind w:firstLine="600"/>
        <w:contextualSpacing/>
        <w:textAlignment w:val="auto"/>
        <w:rPr>
          <w:rFonts w:hint="eastAsia" w:ascii="楷体" w:hAnsi="楷体" w:eastAsia="楷体" w:cs="楷体"/>
          <w:kern w:val="0"/>
          <w:sz w:val="30"/>
          <w:szCs w:val="30"/>
          <w:lang w:val="zh-CN"/>
        </w:rPr>
      </w:pPr>
      <w:r>
        <w:rPr>
          <w:rFonts w:hint="eastAsia" w:ascii="楷体" w:hAnsi="楷体" w:eastAsia="楷体" w:cs="楷体"/>
          <w:kern w:val="0"/>
          <w:sz w:val="30"/>
          <w:szCs w:val="30"/>
          <w:lang w:val="zh-CN"/>
        </w:rPr>
        <w:t>（三）竞赛平台主要设备参数</w:t>
      </w:r>
    </w:p>
    <w:p w14:paraId="329BCEF0">
      <w:pPr>
        <w:pStyle w:val="16"/>
        <w:spacing w:before="163"/>
      </w:pPr>
      <w:r>
        <w:rPr>
          <w:rFonts w:hint="eastAsia"/>
        </w:rPr>
        <w:t>表</w:t>
      </w:r>
      <w:r>
        <w:rPr>
          <w:rFonts w:hint="eastAsia"/>
          <w:lang w:val="en-US" w:eastAsia="zh-CN"/>
        </w:rPr>
        <w:t>1</w:t>
      </w:r>
      <w:r>
        <w:t>赛项推荐竞赛平台参数规格</w:t>
      </w:r>
    </w:p>
    <w:tbl>
      <w:tblPr>
        <w:tblStyle w:val="9"/>
        <w:tblW w:w="84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4"/>
        <w:gridCol w:w="992"/>
        <w:gridCol w:w="4315"/>
        <w:gridCol w:w="708"/>
        <w:gridCol w:w="1701"/>
      </w:tblGrid>
      <w:tr w14:paraId="34C799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54" w:type="dxa"/>
            <w:noWrap w:val="0"/>
            <w:vAlign w:val="center"/>
          </w:tcPr>
          <w:p w14:paraId="56EBD71A">
            <w:pPr>
              <w:pStyle w:val="12"/>
              <w:spacing w:line="480" w:lineRule="exact"/>
              <w:contextualSpacing/>
              <w:rPr>
                <w:rFonts w:hint="eastAsia" w:ascii="仿宋_GB2312" w:eastAsia="仿宋_GB2312"/>
                <w:b/>
              </w:rPr>
            </w:pPr>
            <w:r>
              <w:rPr>
                <w:rFonts w:hint="eastAsia" w:ascii="仿宋_GB2312" w:eastAsia="仿宋_GB2312"/>
                <w:b/>
              </w:rPr>
              <w:t>序号</w:t>
            </w:r>
          </w:p>
        </w:tc>
        <w:tc>
          <w:tcPr>
            <w:tcW w:w="992" w:type="dxa"/>
            <w:noWrap w:val="0"/>
            <w:vAlign w:val="center"/>
          </w:tcPr>
          <w:p w14:paraId="59839BFD">
            <w:pPr>
              <w:pStyle w:val="12"/>
              <w:spacing w:line="480" w:lineRule="exact"/>
              <w:contextualSpacing/>
              <w:rPr>
                <w:rFonts w:hint="eastAsia" w:ascii="仿宋_GB2312" w:eastAsia="仿宋_GB2312"/>
                <w:b/>
              </w:rPr>
            </w:pPr>
            <w:r>
              <w:rPr>
                <w:rFonts w:hint="eastAsia" w:ascii="仿宋_GB2312" w:eastAsia="仿宋_GB2312"/>
                <w:b/>
              </w:rPr>
              <w:t>名称</w:t>
            </w:r>
          </w:p>
        </w:tc>
        <w:tc>
          <w:tcPr>
            <w:tcW w:w="4315" w:type="dxa"/>
            <w:noWrap w:val="0"/>
            <w:vAlign w:val="center"/>
          </w:tcPr>
          <w:p w14:paraId="4E530D99">
            <w:pPr>
              <w:pStyle w:val="12"/>
              <w:spacing w:line="480" w:lineRule="exact"/>
              <w:contextualSpacing/>
              <w:rPr>
                <w:rFonts w:hint="eastAsia" w:ascii="仿宋_GB2312" w:eastAsia="仿宋_GB2312"/>
                <w:b/>
              </w:rPr>
            </w:pPr>
            <w:r>
              <w:rPr>
                <w:rFonts w:hint="eastAsia" w:ascii="仿宋_GB2312" w:eastAsia="仿宋_GB2312"/>
                <w:b/>
              </w:rPr>
              <w:t>主要规格和功能</w:t>
            </w:r>
          </w:p>
        </w:tc>
        <w:tc>
          <w:tcPr>
            <w:tcW w:w="708" w:type="dxa"/>
            <w:noWrap w:val="0"/>
            <w:vAlign w:val="center"/>
          </w:tcPr>
          <w:p w14:paraId="19E9320C">
            <w:pPr>
              <w:pStyle w:val="12"/>
              <w:spacing w:line="480" w:lineRule="exact"/>
              <w:contextualSpacing/>
              <w:rPr>
                <w:rFonts w:hint="eastAsia" w:ascii="仿宋_GB2312" w:eastAsia="仿宋_GB2312"/>
                <w:b/>
              </w:rPr>
            </w:pPr>
            <w:r>
              <w:rPr>
                <w:rFonts w:hint="eastAsia" w:ascii="仿宋_GB2312" w:eastAsia="仿宋_GB2312"/>
                <w:b/>
              </w:rPr>
              <w:t>数量</w:t>
            </w:r>
          </w:p>
        </w:tc>
        <w:tc>
          <w:tcPr>
            <w:tcW w:w="1701" w:type="dxa"/>
            <w:noWrap w:val="0"/>
            <w:vAlign w:val="center"/>
          </w:tcPr>
          <w:p w14:paraId="778AC2EC">
            <w:pPr>
              <w:pStyle w:val="12"/>
              <w:spacing w:line="480" w:lineRule="exact"/>
              <w:contextualSpacing/>
              <w:rPr>
                <w:rFonts w:hint="eastAsia" w:ascii="仿宋_GB2312" w:eastAsia="仿宋_GB2312"/>
                <w:b/>
              </w:rPr>
            </w:pPr>
            <w:r>
              <w:rPr>
                <w:rFonts w:hint="eastAsia" w:ascii="仿宋_GB2312" w:eastAsia="仿宋_GB2312"/>
                <w:b/>
              </w:rPr>
              <w:t>备注</w:t>
            </w:r>
          </w:p>
        </w:tc>
      </w:tr>
      <w:tr w14:paraId="4A8CA9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54" w:type="dxa"/>
            <w:noWrap w:val="0"/>
            <w:vAlign w:val="center"/>
          </w:tcPr>
          <w:p w14:paraId="38DF6A8E">
            <w:pPr>
              <w:pStyle w:val="12"/>
              <w:spacing w:line="480" w:lineRule="exact"/>
              <w:contextualSpacing/>
              <w:rPr>
                <w:rFonts w:hint="eastAsia" w:ascii="仿宋_GB2312" w:hAnsi="仿宋" w:eastAsia="仿宋_GB2312"/>
                <w:szCs w:val="24"/>
              </w:rPr>
            </w:pPr>
            <w:r>
              <w:rPr>
                <w:rFonts w:hint="eastAsia" w:ascii="仿宋_GB2312" w:hAnsi="仿宋" w:eastAsia="仿宋_GB2312"/>
                <w:szCs w:val="24"/>
              </w:rPr>
              <w:t>1</w:t>
            </w:r>
          </w:p>
        </w:tc>
        <w:tc>
          <w:tcPr>
            <w:tcW w:w="992" w:type="dxa"/>
            <w:noWrap w:val="0"/>
            <w:vAlign w:val="center"/>
          </w:tcPr>
          <w:p w14:paraId="1E0C6523">
            <w:pPr>
              <w:pStyle w:val="12"/>
              <w:spacing w:line="480" w:lineRule="exact"/>
              <w:contextualSpacing/>
              <w:rPr>
                <w:rFonts w:hint="eastAsia" w:ascii="仿宋_GB2312" w:hAnsi="仿宋" w:eastAsia="仿宋_GB2312"/>
                <w:szCs w:val="24"/>
              </w:rPr>
            </w:pPr>
            <w:r>
              <w:rPr>
                <w:rFonts w:hint="eastAsia" w:ascii="仿宋_GB2312" w:hAnsi="仿宋" w:eastAsia="仿宋_GB2312"/>
                <w:szCs w:val="24"/>
              </w:rPr>
              <w:t>工业机器人</w:t>
            </w:r>
          </w:p>
        </w:tc>
        <w:tc>
          <w:tcPr>
            <w:tcW w:w="4315" w:type="dxa"/>
            <w:noWrap w:val="0"/>
            <w:vAlign w:val="center"/>
          </w:tcPr>
          <w:p w14:paraId="25F41984">
            <w:pPr>
              <w:pStyle w:val="13"/>
              <w:spacing w:line="480" w:lineRule="exact"/>
              <w:contextualSpacing/>
              <w:rPr>
                <w:rFonts w:hint="eastAsia" w:ascii="仿宋_GB2312" w:hAnsi="仿宋" w:eastAsia="仿宋_GB2312"/>
                <w:sz w:val="24"/>
                <w:szCs w:val="24"/>
              </w:rPr>
            </w:pPr>
            <w:r>
              <w:rPr>
                <w:rFonts w:hint="eastAsia" w:ascii="仿宋_GB2312" w:hAnsi="仿宋" w:eastAsia="仿宋_GB2312"/>
                <w:sz w:val="24"/>
                <w:szCs w:val="24"/>
              </w:rPr>
              <w:t>额定负载：3kg</w:t>
            </w:r>
          </w:p>
          <w:p w14:paraId="1A234B5C">
            <w:pPr>
              <w:pStyle w:val="13"/>
              <w:spacing w:line="480" w:lineRule="exact"/>
              <w:contextualSpacing/>
              <w:rPr>
                <w:rFonts w:hint="eastAsia" w:ascii="仿宋_GB2312" w:hAnsi="仿宋" w:eastAsia="仿宋_GB2312"/>
                <w:sz w:val="24"/>
                <w:szCs w:val="24"/>
              </w:rPr>
            </w:pPr>
            <w:r>
              <w:rPr>
                <w:rFonts w:hint="eastAsia" w:ascii="仿宋_GB2312" w:hAnsi="仿宋" w:eastAsia="仿宋_GB2312"/>
                <w:sz w:val="24"/>
                <w:szCs w:val="24"/>
              </w:rPr>
              <w:t>手臂荷重：0.3kg</w:t>
            </w:r>
          </w:p>
          <w:p w14:paraId="42D3F201">
            <w:pPr>
              <w:pStyle w:val="13"/>
              <w:spacing w:line="480" w:lineRule="exact"/>
              <w:contextualSpacing/>
              <w:rPr>
                <w:rFonts w:hint="eastAsia" w:ascii="仿宋_GB2312" w:hAnsi="仿宋" w:eastAsia="仿宋_GB2312"/>
                <w:sz w:val="24"/>
                <w:szCs w:val="24"/>
              </w:rPr>
            </w:pPr>
            <w:r>
              <w:rPr>
                <w:rFonts w:hint="eastAsia" w:ascii="仿宋_GB2312" w:hAnsi="仿宋" w:eastAsia="仿宋_GB2312"/>
                <w:sz w:val="24"/>
                <w:szCs w:val="24"/>
              </w:rPr>
              <w:t>工作范围：580mm</w:t>
            </w:r>
          </w:p>
          <w:p w14:paraId="65B4F5D0">
            <w:pPr>
              <w:pStyle w:val="13"/>
              <w:spacing w:line="480" w:lineRule="exact"/>
              <w:contextualSpacing/>
              <w:rPr>
                <w:rFonts w:hint="eastAsia" w:ascii="仿宋_GB2312" w:hAnsi="仿宋" w:eastAsia="仿宋_GB2312"/>
                <w:sz w:val="24"/>
                <w:szCs w:val="24"/>
              </w:rPr>
            </w:pPr>
            <w:r>
              <w:rPr>
                <w:rFonts w:hint="eastAsia" w:ascii="仿宋_GB2312" w:hAnsi="仿宋" w:eastAsia="仿宋_GB2312"/>
                <w:sz w:val="24"/>
                <w:szCs w:val="24"/>
              </w:rPr>
              <w:t>重复定位精度：0.01mm</w:t>
            </w:r>
          </w:p>
          <w:p w14:paraId="673C7A80">
            <w:pPr>
              <w:pStyle w:val="13"/>
              <w:spacing w:line="480" w:lineRule="exact"/>
              <w:contextualSpacing/>
              <w:rPr>
                <w:rFonts w:hint="eastAsia" w:ascii="仿宋_GB2312" w:hAnsi="仿宋" w:eastAsia="仿宋_GB2312"/>
                <w:sz w:val="24"/>
                <w:szCs w:val="24"/>
              </w:rPr>
            </w:pPr>
            <w:r>
              <w:rPr>
                <w:rFonts w:hint="eastAsia" w:ascii="仿宋_GB2312" w:hAnsi="仿宋" w:eastAsia="仿宋_GB2312"/>
                <w:sz w:val="24"/>
                <w:szCs w:val="24"/>
              </w:rPr>
              <w:t>本体重量：25kg</w:t>
            </w:r>
          </w:p>
          <w:tbl>
            <w:tblPr>
              <w:tblStyle w:val="9"/>
              <w:tblW w:w="4149"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123"/>
              <w:gridCol w:w="1750"/>
              <w:gridCol w:w="1276"/>
            </w:tblGrid>
            <w:tr w14:paraId="311B3B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23" w:type="dxa"/>
                  <w:tcBorders>
                    <w:top w:val="single" w:color="000000" w:sz="4" w:space="0"/>
                    <w:left w:val="single" w:color="000000" w:sz="4" w:space="0"/>
                    <w:bottom w:val="single" w:color="000000" w:sz="4" w:space="0"/>
                    <w:right w:val="single" w:color="000000" w:sz="4" w:space="0"/>
                  </w:tcBorders>
                  <w:noWrap w:val="0"/>
                  <w:vAlign w:val="top"/>
                </w:tcPr>
                <w:p w14:paraId="3265F761">
                  <w:pPr>
                    <w:pStyle w:val="13"/>
                    <w:spacing w:line="480" w:lineRule="exact"/>
                    <w:contextualSpacing/>
                    <w:jc w:val="center"/>
                    <w:rPr>
                      <w:rFonts w:hint="eastAsia" w:ascii="仿宋_GB2312" w:hAnsi="仿宋" w:eastAsia="仿宋_GB2312"/>
                      <w:sz w:val="24"/>
                      <w:szCs w:val="24"/>
                    </w:rPr>
                  </w:pPr>
                  <w:r>
                    <w:rPr>
                      <w:rFonts w:hint="eastAsia" w:ascii="仿宋_GB2312" w:hAnsi="仿宋" w:eastAsia="仿宋_GB2312"/>
                      <w:sz w:val="24"/>
                      <w:szCs w:val="24"/>
                    </w:rPr>
                    <w:t>轴运动</w:t>
                  </w:r>
                </w:p>
              </w:tc>
              <w:tc>
                <w:tcPr>
                  <w:tcW w:w="1750" w:type="dxa"/>
                  <w:tcBorders>
                    <w:top w:val="single" w:color="000000" w:sz="4" w:space="0"/>
                    <w:left w:val="single" w:color="000000" w:sz="4" w:space="0"/>
                    <w:bottom w:val="single" w:color="000000" w:sz="4" w:space="0"/>
                    <w:right w:val="single" w:color="000000" w:sz="4" w:space="0"/>
                  </w:tcBorders>
                  <w:noWrap w:val="0"/>
                  <w:vAlign w:val="top"/>
                </w:tcPr>
                <w:p w14:paraId="00E75241">
                  <w:pPr>
                    <w:pStyle w:val="13"/>
                    <w:spacing w:line="480" w:lineRule="exact"/>
                    <w:contextualSpacing/>
                    <w:jc w:val="center"/>
                    <w:rPr>
                      <w:rFonts w:hint="eastAsia" w:ascii="仿宋_GB2312" w:hAnsi="仿宋" w:eastAsia="仿宋_GB2312"/>
                      <w:sz w:val="24"/>
                      <w:szCs w:val="24"/>
                    </w:rPr>
                  </w:pPr>
                  <w:r>
                    <w:rPr>
                      <w:rFonts w:hint="eastAsia" w:ascii="仿宋_GB2312" w:hAnsi="仿宋" w:eastAsia="仿宋_GB2312"/>
                      <w:sz w:val="24"/>
                      <w:szCs w:val="24"/>
                    </w:rPr>
                    <w:t>工作范围</w:t>
                  </w:r>
                </w:p>
              </w:tc>
              <w:tc>
                <w:tcPr>
                  <w:tcW w:w="1276" w:type="dxa"/>
                  <w:tcBorders>
                    <w:top w:val="single" w:color="000000" w:sz="4" w:space="0"/>
                    <w:left w:val="single" w:color="000000" w:sz="4" w:space="0"/>
                    <w:bottom w:val="single" w:color="000000" w:sz="4" w:space="0"/>
                    <w:right w:val="single" w:color="000000" w:sz="4" w:space="0"/>
                  </w:tcBorders>
                  <w:noWrap w:val="0"/>
                  <w:vAlign w:val="top"/>
                </w:tcPr>
                <w:p w14:paraId="300BBFAA">
                  <w:pPr>
                    <w:pStyle w:val="13"/>
                    <w:spacing w:line="480" w:lineRule="exact"/>
                    <w:contextualSpacing/>
                    <w:jc w:val="center"/>
                    <w:rPr>
                      <w:rFonts w:hint="eastAsia" w:ascii="仿宋_GB2312" w:hAnsi="仿宋" w:eastAsia="仿宋_GB2312"/>
                      <w:sz w:val="24"/>
                      <w:szCs w:val="24"/>
                    </w:rPr>
                  </w:pPr>
                  <w:r>
                    <w:rPr>
                      <w:rFonts w:hint="eastAsia" w:ascii="仿宋_GB2312" w:hAnsi="仿宋" w:eastAsia="仿宋_GB2312"/>
                      <w:sz w:val="24"/>
                      <w:szCs w:val="24"/>
                    </w:rPr>
                    <w:t>最大速度</w:t>
                  </w:r>
                </w:p>
              </w:tc>
            </w:tr>
            <w:tr w14:paraId="7504A1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23" w:type="dxa"/>
                  <w:tcBorders>
                    <w:top w:val="single" w:color="000000" w:sz="4" w:space="0"/>
                    <w:left w:val="single" w:color="000000" w:sz="4" w:space="0"/>
                    <w:bottom w:val="single" w:color="000000" w:sz="4" w:space="0"/>
                    <w:right w:val="single" w:color="000000" w:sz="4" w:space="0"/>
                  </w:tcBorders>
                  <w:noWrap w:val="0"/>
                  <w:vAlign w:val="top"/>
                </w:tcPr>
                <w:p w14:paraId="74B6C569">
                  <w:pPr>
                    <w:pStyle w:val="13"/>
                    <w:spacing w:line="480" w:lineRule="exact"/>
                    <w:contextualSpacing/>
                    <w:jc w:val="center"/>
                    <w:rPr>
                      <w:rFonts w:hint="eastAsia" w:ascii="仿宋_GB2312" w:hAnsi="仿宋" w:eastAsia="仿宋_GB2312"/>
                      <w:sz w:val="24"/>
                      <w:szCs w:val="24"/>
                    </w:rPr>
                  </w:pPr>
                  <w:r>
                    <w:rPr>
                      <w:rFonts w:hint="eastAsia" w:ascii="仿宋_GB2312" w:hAnsi="仿宋" w:eastAsia="仿宋_GB2312"/>
                      <w:sz w:val="24"/>
                      <w:szCs w:val="24"/>
                    </w:rPr>
                    <w:t>轴1旋转</w:t>
                  </w:r>
                </w:p>
              </w:tc>
              <w:tc>
                <w:tcPr>
                  <w:tcW w:w="1750" w:type="dxa"/>
                  <w:tcBorders>
                    <w:top w:val="single" w:color="000000" w:sz="4" w:space="0"/>
                    <w:left w:val="single" w:color="000000" w:sz="4" w:space="0"/>
                    <w:bottom w:val="single" w:color="000000" w:sz="4" w:space="0"/>
                    <w:right w:val="single" w:color="000000" w:sz="4" w:space="0"/>
                  </w:tcBorders>
                  <w:noWrap w:val="0"/>
                  <w:vAlign w:val="top"/>
                </w:tcPr>
                <w:p w14:paraId="3DB462DA">
                  <w:pPr>
                    <w:pStyle w:val="13"/>
                    <w:spacing w:line="480" w:lineRule="exact"/>
                    <w:contextualSpacing/>
                    <w:rPr>
                      <w:rFonts w:hint="eastAsia" w:ascii="仿宋_GB2312" w:hAnsi="仿宋" w:eastAsia="仿宋_GB2312"/>
                      <w:sz w:val="24"/>
                      <w:szCs w:val="24"/>
                    </w:rPr>
                  </w:pPr>
                  <w:r>
                    <w:rPr>
                      <w:rFonts w:hint="eastAsia" w:ascii="仿宋_GB2312" w:hAnsi="仿宋" w:eastAsia="仿宋_GB2312"/>
                      <w:sz w:val="24"/>
                      <w:szCs w:val="24"/>
                    </w:rPr>
                    <w:t>+165</w:t>
                  </w:r>
                  <w:r>
                    <w:rPr>
                      <w:rFonts w:ascii="Calibri" w:hAnsi="Calibri" w:eastAsia="仿宋_GB2312" w:cs="Calibri"/>
                      <w:sz w:val="24"/>
                      <w:szCs w:val="24"/>
                    </w:rPr>
                    <w:t>º</w:t>
                  </w:r>
                  <w:r>
                    <w:rPr>
                      <w:rFonts w:hint="eastAsia" w:ascii="Calibri" w:hAnsi="Calibri" w:eastAsia="仿宋_GB2312" w:cs="Calibri"/>
                      <w:sz w:val="24"/>
                      <w:szCs w:val="24"/>
                      <w:lang w:eastAsia="zh-CN"/>
                    </w:rPr>
                    <w:t>~</w:t>
                  </w:r>
                  <w:r>
                    <w:rPr>
                      <w:rFonts w:hint="eastAsia" w:ascii="仿宋_GB2312" w:hAnsi="仿宋" w:eastAsia="仿宋_GB2312"/>
                      <w:sz w:val="24"/>
                      <w:szCs w:val="24"/>
                    </w:rPr>
                    <w:t>-165</w:t>
                  </w:r>
                </w:p>
              </w:tc>
              <w:tc>
                <w:tcPr>
                  <w:tcW w:w="1276" w:type="dxa"/>
                  <w:tcBorders>
                    <w:top w:val="single" w:color="000000" w:sz="4" w:space="0"/>
                    <w:left w:val="single" w:color="000000" w:sz="4" w:space="0"/>
                    <w:bottom w:val="single" w:color="000000" w:sz="4" w:space="0"/>
                    <w:right w:val="single" w:color="000000" w:sz="4" w:space="0"/>
                  </w:tcBorders>
                  <w:noWrap w:val="0"/>
                  <w:vAlign w:val="top"/>
                </w:tcPr>
                <w:p w14:paraId="1939E58D">
                  <w:pPr>
                    <w:pStyle w:val="13"/>
                    <w:spacing w:line="480" w:lineRule="exact"/>
                    <w:contextualSpacing/>
                    <w:jc w:val="center"/>
                    <w:rPr>
                      <w:rFonts w:hint="eastAsia" w:ascii="仿宋_GB2312" w:hAnsi="仿宋" w:eastAsia="仿宋_GB2312"/>
                      <w:sz w:val="24"/>
                      <w:szCs w:val="24"/>
                    </w:rPr>
                  </w:pPr>
                  <w:r>
                    <w:rPr>
                      <w:rFonts w:hint="eastAsia" w:ascii="仿宋_GB2312" w:hAnsi="仿宋" w:eastAsia="仿宋_GB2312"/>
                      <w:sz w:val="24"/>
                      <w:szCs w:val="24"/>
                    </w:rPr>
                    <w:t>250/S</w:t>
                  </w:r>
                </w:p>
              </w:tc>
            </w:tr>
            <w:tr w14:paraId="4E8898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23" w:type="dxa"/>
                  <w:tcBorders>
                    <w:top w:val="single" w:color="000000" w:sz="4" w:space="0"/>
                    <w:left w:val="single" w:color="000000" w:sz="4" w:space="0"/>
                    <w:bottom w:val="single" w:color="000000" w:sz="4" w:space="0"/>
                    <w:right w:val="single" w:color="000000" w:sz="4" w:space="0"/>
                  </w:tcBorders>
                  <w:noWrap w:val="0"/>
                  <w:vAlign w:val="top"/>
                </w:tcPr>
                <w:p w14:paraId="7C31748B">
                  <w:pPr>
                    <w:pStyle w:val="13"/>
                    <w:spacing w:line="480" w:lineRule="exact"/>
                    <w:contextualSpacing/>
                    <w:jc w:val="center"/>
                    <w:rPr>
                      <w:rFonts w:hint="eastAsia" w:ascii="仿宋_GB2312" w:hAnsi="仿宋" w:eastAsia="仿宋_GB2312"/>
                      <w:sz w:val="24"/>
                      <w:szCs w:val="24"/>
                    </w:rPr>
                  </w:pPr>
                  <w:r>
                    <w:rPr>
                      <w:rFonts w:hint="eastAsia" w:ascii="仿宋_GB2312" w:hAnsi="仿宋" w:eastAsia="仿宋_GB2312"/>
                      <w:sz w:val="24"/>
                      <w:szCs w:val="24"/>
                    </w:rPr>
                    <w:t>轴2手臂</w:t>
                  </w:r>
                </w:p>
              </w:tc>
              <w:tc>
                <w:tcPr>
                  <w:tcW w:w="1750" w:type="dxa"/>
                  <w:tcBorders>
                    <w:top w:val="single" w:color="000000" w:sz="4" w:space="0"/>
                    <w:left w:val="single" w:color="000000" w:sz="4" w:space="0"/>
                    <w:bottom w:val="single" w:color="000000" w:sz="4" w:space="0"/>
                    <w:right w:val="single" w:color="000000" w:sz="4" w:space="0"/>
                  </w:tcBorders>
                  <w:noWrap w:val="0"/>
                  <w:vAlign w:val="top"/>
                </w:tcPr>
                <w:p w14:paraId="569812C3">
                  <w:pPr>
                    <w:pStyle w:val="13"/>
                    <w:spacing w:line="480" w:lineRule="exact"/>
                    <w:contextualSpacing/>
                    <w:jc w:val="center"/>
                    <w:rPr>
                      <w:rFonts w:hint="eastAsia" w:ascii="仿宋_GB2312" w:hAnsi="仿宋" w:eastAsia="仿宋_GB2312"/>
                      <w:sz w:val="24"/>
                      <w:szCs w:val="24"/>
                    </w:rPr>
                  </w:pPr>
                  <w:r>
                    <w:rPr>
                      <w:rFonts w:hint="eastAsia" w:ascii="仿宋_GB2312" w:hAnsi="仿宋" w:eastAsia="仿宋_GB2312"/>
                      <w:sz w:val="24"/>
                      <w:szCs w:val="24"/>
                    </w:rPr>
                    <w:t>+110</w:t>
                  </w:r>
                  <w:r>
                    <w:rPr>
                      <w:rFonts w:ascii="Calibri" w:hAnsi="Calibri" w:eastAsia="仿宋_GB2312" w:cs="Calibri"/>
                      <w:sz w:val="24"/>
                      <w:szCs w:val="24"/>
                    </w:rPr>
                    <w:t>º</w:t>
                  </w:r>
                  <w:r>
                    <w:rPr>
                      <w:rFonts w:hint="eastAsia" w:ascii="Calibri" w:hAnsi="Calibri" w:eastAsia="仿宋_GB2312" w:cs="Calibri"/>
                      <w:sz w:val="24"/>
                      <w:szCs w:val="24"/>
                      <w:lang w:eastAsia="zh-CN"/>
                    </w:rPr>
                    <w:t>~</w:t>
                  </w:r>
                  <w:r>
                    <w:rPr>
                      <w:rFonts w:hint="eastAsia" w:ascii="仿宋_GB2312" w:hAnsi="仿宋" w:eastAsia="仿宋_GB2312"/>
                      <w:sz w:val="24"/>
                      <w:szCs w:val="24"/>
                    </w:rPr>
                    <w:t>-110</w:t>
                  </w:r>
                </w:p>
              </w:tc>
              <w:tc>
                <w:tcPr>
                  <w:tcW w:w="1276" w:type="dxa"/>
                  <w:tcBorders>
                    <w:top w:val="single" w:color="000000" w:sz="4" w:space="0"/>
                    <w:left w:val="single" w:color="000000" w:sz="4" w:space="0"/>
                    <w:bottom w:val="single" w:color="000000" w:sz="4" w:space="0"/>
                    <w:right w:val="single" w:color="000000" w:sz="4" w:space="0"/>
                  </w:tcBorders>
                  <w:noWrap w:val="0"/>
                  <w:vAlign w:val="top"/>
                </w:tcPr>
                <w:p w14:paraId="42148186">
                  <w:pPr>
                    <w:pStyle w:val="13"/>
                    <w:spacing w:line="480" w:lineRule="exact"/>
                    <w:contextualSpacing/>
                    <w:jc w:val="center"/>
                    <w:rPr>
                      <w:rFonts w:hint="eastAsia" w:ascii="仿宋_GB2312" w:hAnsi="仿宋" w:eastAsia="仿宋_GB2312"/>
                      <w:sz w:val="24"/>
                      <w:szCs w:val="24"/>
                    </w:rPr>
                  </w:pPr>
                  <w:r>
                    <w:rPr>
                      <w:rFonts w:hint="eastAsia" w:ascii="仿宋_GB2312" w:hAnsi="仿宋" w:eastAsia="仿宋_GB2312"/>
                      <w:sz w:val="24"/>
                      <w:szCs w:val="24"/>
                    </w:rPr>
                    <w:t>250/S</w:t>
                  </w:r>
                </w:p>
              </w:tc>
            </w:tr>
            <w:tr w14:paraId="043134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23" w:type="dxa"/>
                  <w:tcBorders>
                    <w:top w:val="single" w:color="000000" w:sz="4" w:space="0"/>
                    <w:left w:val="single" w:color="000000" w:sz="4" w:space="0"/>
                    <w:bottom w:val="single" w:color="000000" w:sz="4" w:space="0"/>
                    <w:right w:val="single" w:color="000000" w:sz="4" w:space="0"/>
                  </w:tcBorders>
                  <w:noWrap w:val="0"/>
                  <w:vAlign w:val="top"/>
                </w:tcPr>
                <w:p w14:paraId="43EAD4AA">
                  <w:pPr>
                    <w:pStyle w:val="13"/>
                    <w:spacing w:line="480" w:lineRule="exact"/>
                    <w:contextualSpacing/>
                    <w:jc w:val="center"/>
                    <w:rPr>
                      <w:rFonts w:hint="eastAsia" w:ascii="仿宋_GB2312" w:hAnsi="仿宋" w:eastAsia="仿宋_GB2312"/>
                      <w:sz w:val="24"/>
                      <w:szCs w:val="24"/>
                    </w:rPr>
                  </w:pPr>
                  <w:r>
                    <w:rPr>
                      <w:rFonts w:hint="eastAsia" w:ascii="仿宋_GB2312" w:hAnsi="仿宋" w:eastAsia="仿宋_GB2312"/>
                      <w:sz w:val="24"/>
                      <w:szCs w:val="24"/>
                    </w:rPr>
                    <w:t>轴3手臂</w:t>
                  </w:r>
                </w:p>
              </w:tc>
              <w:tc>
                <w:tcPr>
                  <w:tcW w:w="1750" w:type="dxa"/>
                  <w:tcBorders>
                    <w:top w:val="single" w:color="000000" w:sz="4" w:space="0"/>
                    <w:left w:val="single" w:color="000000" w:sz="4" w:space="0"/>
                    <w:bottom w:val="single" w:color="000000" w:sz="4" w:space="0"/>
                    <w:right w:val="single" w:color="000000" w:sz="4" w:space="0"/>
                  </w:tcBorders>
                  <w:noWrap w:val="0"/>
                  <w:vAlign w:val="top"/>
                </w:tcPr>
                <w:p w14:paraId="1BF39624">
                  <w:pPr>
                    <w:pStyle w:val="13"/>
                    <w:spacing w:line="480" w:lineRule="exact"/>
                    <w:contextualSpacing/>
                    <w:jc w:val="center"/>
                    <w:rPr>
                      <w:rFonts w:hint="eastAsia" w:ascii="仿宋_GB2312" w:hAnsi="仿宋" w:eastAsia="仿宋_GB2312"/>
                      <w:sz w:val="24"/>
                      <w:szCs w:val="24"/>
                    </w:rPr>
                  </w:pPr>
                  <w:r>
                    <w:rPr>
                      <w:rFonts w:hint="eastAsia" w:ascii="仿宋_GB2312" w:hAnsi="仿宋" w:eastAsia="仿宋_GB2312"/>
                      <w:sz w:val="24"/>
                      <w:szCs w:val="24"/>
                    </w:rPr>
                    <w:t>+70</w:t>
                  </w:r>
                  <w:r>
                    <w:rPr>
                      <w:rFonts w:ascii="Calibri" w:hAnsi="Calibri" w:eastAsia="仿宋_GB2312" w:cs="Calibri"/>
                      <w:sz w:val="24"/>
                      <w:szCs w:val="24"/>
                    </w:rPr>
                    <w:t>º</w:t>
                  </w:r>
                  <w:r>
                    <w:rPr>
                      <w:rFonts w:hint="eastAsia" w:ascii="Calibri" w:hAnsi="Calibri" w:eastAsia="仿宋_GB2312" w:cs="Calibri"/>
                      <w:sz w:val="24"/>
                      <w:szCs w:val="24"/>
                      <w:lang w:eastAsia="zh-CN"/>
                    </w:rPr>
                    <w:t>~</w:t>
                  </w:r>
                  <w:r>
                    <w:rPr>
                      <w:rFonts w:hint="eastAsia" w:ascii="仿宋_GB2312" w:hAnsi="仿宋" w:eastAsia="仿宋_GB2312"/>
                      <w:sz w:val="24"/>
                      <w:szCs w:val="24"/>
                    </w:rPr>
                    <w:t>-90</w:t>
                  </w:r>
                  <w:r>
                    <w:rPr>
                      <w:rFonts w:ascii="Calibri" w:hAnsi="Calibri" w:eastAsia="仿宋_GB2312" w:cs="Calibri"/>
                      <w:sz w:val="24"/>
                      <w:szCs w:val="24"/>
                    </w:rPr>
                    <w:t>º</w:t>
                  </w:r>
                </w:p>
              </w:tc>
              <w:tc>
                <w:tcPr>
                  <w:tcW w:w="1276" w:type="dxa"/>
                  <w:tcBorders>
                    <w:top w:val="single" w:color="000000" w:sz="4" w:space="0"/>
                    <w:left w:val="single" w:color="000000" w:sz="4" w:space="0"/>
                    <w:bottom w:val="single" w:color="000000" w:sz="4" w:space="0"/>
                    <w:right w:val="single" w:color="000000" w:sz="4" w:space="0"/>
                  </w:tcBorders>
                  <w:noWrap w:val="0"/>
                  <w:vAlign w:val="top"/>
                </w:tcPr>
                <w:p w14:paraId="05E57BF3">
                  <w:pPr>
                    <w:pStyle w:val="13"/>
                    <w:spacing w:line="480" w:lineRule="exact"/>
                    <w:contextualSpacing/>
                    <w:jc w:val="center"/>
                    <w:rPr>
                      <w:rFonts w:hint="eastAsia" w:ascii="仿宋_GB2312" w:hAnsi="仿宋" w:eastAsia="仿宋_GB2312"/>
                      <w:sz w:val="24"/>
                      <w:szCs w:val="24"/>
                    </w:rPr>
                  </w:pPr>
                  <w:r>
                    <w:rPr>
                      <w:rFonts w:hint="eastAsia" w:ascii="仿宋_GB2312" w:hAnsi="仿宋" w:eastAsia="仿宋_GB2312"/>
                      <w:sz w:val="24"/>
                      <w:szCs w:val="24"/>
                    </w:rPr>
                    <w:t>250/S</w:t>
                  </w:r>
                </w:p>
              </w:tc>
            </w:tr>
            <w:tr w14:paraId="524545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23" w:type="dxa"/>
                  <w:tcBorders>
                    <w:top w:val="single" w:color="000000" w:sz="4" w:space="0"/>
                    <w:left w:val="single" w:color="000000" w:sz="4" w:space="0"/>
                    <w:bottom w:val="single" w:color="000000" w:sz="4" w:space="0"/>
                    <w:right w:val="single" w:color="000000" w:sz="4" w:space="0"/>
                  </w:tcBorders>
                  <w:noWrap w:val="0"/>
                  <w:vAlign w:val="top"/>
                </w:tcPr>
                <w:p w14:paraId="34106B61">
                  <w:pPr>
                    <w:pStyle w:val="13"/>
                    <w:spacing w:line="480" w:lineRule="exact"/>
                    <w:contextualSpacing/>
                    <w:jc w:val="center"/>
                    <w:rPr>
                      <w:rFonts w:hint="eastAsia" w:ascii="仿宋_GB2312" w:hAnsi="仿宋" w:eastAsia="仿宋_GB2312"/>
                      <w:sz w:val="24"/>
                      <w:szCs w:val="24"/>
                    </w:rPr>
                  </w:pPr>
                  <w:r>
                    <w:rPr>
                      <w:rFonts w:hint="eastAsia" w:ascii="仿宋_GB2312" w:hAnsi="仿宋" w:eastAsia="仿宋_GB2312"/>
                      <w:sz w:val="24"/>
                      <w:szCs w:val="24"/>
                    </w:rPr>
                    <w:t>轴4手腕</w:t>
                  </w:r>
                </w:p>
              </w:tc>
              <w:tc>
                <w:tcPr>
                  <w:tcW w:w="1750" w:type="dxa"/>
                  <w:tcBorders>
                    <w:top w:val="single" w:color="000000" w:sz="4" w:space="0"/>
                    <w:left w:val="single" w:color="000000" w:sz="4" w:space="0"/>
                    <w:bottom w:val="single" w:color="000000" w:sz="4" w:space="0"/>
                    <w:right w:val="single" w:color="000000" w:sz="4" w:space="0"/>
                  </w:tcBorders>
                  <w:noWrap w:val="0"/>
                  <w:vAlign w:val="top"/>
                </w:tcPr>
                <w:p w14:paraId="1B6A1758">
                  <w:pPr>
                    <w:pStyle w:val="13"/>
                    <w:spacing w:line="480" w:lineRule="exact"/>
                    <w:contextualSpacing/>
                    <w:jc w:val="center"/>
                    <w:rPr>
                      <w:rFonts w:hint="eastAsia" w:ascii="仿宋_GB2312" w:hAnsi="仿宋" w:eastAsia="仿宋_GB2312"/>
                      <w:sz w:val="24"/>
                      <w:szCs w:val="24"/>
                    </w:rPr>
                  </w:pPr>
                  <w:r>
                    <w:rPr>
                      <w:rFonts w:hint="eastAsia" w:ascii="仿宋_GB2312" w:hAnsi="仿宋" w:eastAsia="仿宋_GB2312"/>
                      <w:sz w:val="24"/>
                      <w:szCs w:val="24"/>
                    </w:rPr>
                    <w:t>+160</w:t>
                  </w:r>
                  <w:r>
                    <w:rPr>
                      <w:rFonts w:ascii="Calibri" w:hAnsi="Calibri" w:eastAsia="仿宋_GB2312" w:cs="Calibri"/>
                      <w:sz w:val="24"/>
                      <w:szCs w:val="24"/>
                    </w:rPr>
                    <w:t>º</w:t>
                  </w:r>
                  <w:r>
                    <w:rPr>
                      <w:rFonts w:hint="eastAsia" w:ascii="Calibri" w:hAnsi="Calibri" w:eastAsia="仿宋_GB2312" w:cs="Calibri"/>
                      <w:sz w:val="24"/>
                      <w:szCs w:val="24"/>
                      <w:lang w:eastAsia="zh-CN"/>
                    </w:rPr>
                    <w:t>~</w:t>
                  </w:r>
                  <w:r>
                    <w:rPr>
                      <w:rFonts w:hint="eastAsia" w:ascii="仿宋_GB2312" w:hAnsi="仿宋" w:eastAsia="仿宋_GB2312"/>
                      <w:sz w:val="24"/>
                      <w:szCs w:val="24"/>
                    </w:rPr>
                    <w:t>-160</w:t>
                  </w:r>
                </w:p>
              </w:tc>
              <w:tc>
                <w:tcPr>
                  <w:tcW w:w="1276" w:type="dxa"/>
                  <w:tcBorders>
                    <w:top w:val="single" w:color="000000" w:sz="4" w:space="0"/>
                    <w:left w:val="single" w:color="000000" w:sz="4" w:space="0"/>
                    <w:bottom w:val="single" w:color="000000" w:sz="4" w:space="0"/>
                    <w:right w:val="single" w:color="000000" w:sz="4" w:space="0"/>
                  </w:tcBorders>
                  <w:noWrap w:val="0"/>
                  <w:vAlign w:val="top"/>
                </w:tcPr>
                <w:p w14:paraId="7285DFF1">
                  <w:pPr>
                    <w:pStyle w:val="13"/>
                    <w:spacing w:line="480" w:lineRule="exact"/>
                    <w:contextualSpacing/>
                    <w:jc w:val="center"/>
                    <w:rPr>
                      <w:rFonts w:hint="eastAsia" w:ascii="仿宋_GB2312" w:hAnsi="仿宋" w:eastAsia="仿宋_GB2312"/>
                      <w:sz w:val="24"/>
                      <w:szCs w:val="24"/>
                    </w:rPr>
                  </w:pPr>
                  <w:r>
                    <w:rPr>
                      <w:rFonts w:hint="eastAsia" w:ascii="仿宋_GB2312" w:hAnsi="仿宋" w:eastAsia="仿宋_GB2312"/>
                      <w:sz w:val="24"/>
                      <w:szCs w:val="24"/>
                    </w:rPr>
                    <w:t>320/S</w:t>
                  </w:r>
                </w:p>
              </w:tc>
            </w:tr>
            <w:tr w14:paraId="645F48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23" w:type="dxa"/>
                  <w:tcBorders>
                    <w:top w:val="single" w:color="000000" w:sz="4" w:space="0"/>
                    <w:left w:val="single" w:color="000000" w:sz="4" w:space="0"/>
                    <w:bottom w:val="single" w:color="000000" w:sz="4" w:space="0"/>
                    <w:right w:val="single" w:color="000000" w:sz="4" w:space="0"/>
                  </w:tcBorders>
                  <w:noWrap w:val="0"/>
                  <w:vAlign w:val="top"/>
                </w:tcPr>
                <w:p w14:paraId="2B0D209E">
                  <w:pPr>
                    <w:pStyle w:val="13"/>
                    <w:spacing w:line="480" w:lineRule="exact"/>
                    <w:contextualSpacing/>
                    <w:jc w:val="center"/>
                    <w:rPr>
                      <w:rFonts w:hint="eastAsia" w:ascii="仿宋_GB2312" w:hAnsi="仿宋" w:eastAsia="仿宋_GB2312"/>
                      <w:sz w:val="24"/>
                      <w:szCs w:val="24"/>
                    </w:rPr>
                  </w:pPr>
                  <w:r>
                    <w:rPr>
                      <w:rFonts w:hint="eastAsia" w:ascii="仿宋_GB2312" w:hAnsi="仿宋" w:eastAsia="仿宋_GB2312"/>
                      <w:sz w:val="24"/>
                      <w:szCs w:val="24"/>
                    </w:rPr>
                    <w:t>轴5弯曲</w:t>
                  </w:r>
                </w:p>
              </w:tc>
              <w:tc>
                <w:tcPr>
                  <w:tcW w:w="1750" w:type="dxa"/>
                  <w:tcBorders>
                    <w:top w:val="single" w:color="000000" w:sz="4" w:space="0"/>
                    <w:left w:val="single" w:color="000000" w:sz="4" w:space="0"/>
                    <w:bottom w:val="single" w:color="000000" w:sz="4" w:space="0"/>
                    <w:right w:val="single" w:color="000000" w:sz="4" w:space="0"/>
                  </w:tcBorders>
                  <w:noWrap w:val="0"/>
                  <w:vAlign w:val="top"/>
                </w:tcPr>
                <w:p w14:paraId="751306E0">
                  <w:pPr>
                    <w:pStyle w:val="13"/>
                    <w:spacing w:line="480" w:lineRule="exact"/>
                    <w:contextualSpacing/>
                    <w:jc w:val="center"/>
                    <w:rPr>
                      <w:rFonts w:hint="eastAsia" w:ascii="仿宋_GB2312" w:hAnsi="仿宋" w:eastAsia="仿宋_GB2312"/>
                      <w:sz w:val="24"/>
                      <w:szCs w:val="24"/>
                    </w:rPr>
                  </w:pPr>
                  <w:r>
                    <w:rPr>
                      <w:rFonts w:hint="eastAsia" w:ascii="仿宋_GB2312" w:hAnsi="仿宋" w:eastAsia="仿宋_GB2312"/>
                      <w:sz w:val="24"/>
                      <w:szCs w:val="24"/>
                    </w:rPr>
                    <w:t>+120</w:t>
                  </w:r>
                  <w:r>
                    <w:rPr>
                      <w:rFonts w:ascii="Calibri" w:hAnsi="Calibri" w:eastAsia="仿宋_GB2312" w:cs="Calibri"/>
                      <w:sz w:val="24"/>
                      <w:szCs w:val="24"/>
                    </w:rPr>
                    <w:t>º</w:t>
                  </w:r>
                  <w:r>
                    <w:rPr>
                      <w:rFonts w:hint="eastAsia" w:ascii="Calibri" w:hAnsi="Calibri" w:eastAsia="仿宋_GB2312" w:cs="Calibri"/>
                      <w:sz w:val="24"/>
                      <w:szCs w:val="24"/>
                      <w:lang w:eastAsia="zh-CN"/>
                    </w:rPr>
                    <w:t>~</w:t>
                  </w:r>
                  <w:r>
                    <w:rPr>
                      <w:rFonts w:hint="eastAsia" w:ascii="仿宋_GB2312" w:hAnsi="仿宋" w:eastAsia="仿宋_GB2312"/>
                      <w:sz w:val="24"/>
                      <w:szCs w:val="24"/>
                    </w:rPr>
                    <w:t>-120</w:t>
                  </w:r>
                </w:p>
              </w:tc>
              <w:tc>
                <w:tcPr>
                  <w:tcW w:w="1276" w:type="dxa"/>
                  <w:tcBorders>
                    <w:top w:val="single" w:color="000000" w:sz="4" w:space="0"/>
                    <w:left w:val="single" w:color="000000" w:sz="4" w:space="0"/>
                    <w:bottom w:val="single" w:color="000000" w:sz="4" w:space="0"/>
                    <w:right w:val="single" w:color="000000" w:sz="4" w:space="0"/>
                  </w:tcBorders>
                  <w:noWrap w:val="0"/>
                  <w:vAlign w:val="top"/>
                </w:tcPr>
                <w:p w14:paraId="7AC9940C">
                  <w:pPr>
                    <w:pStyle w:val="13"/>
                    <w:spacing w:line="480" w:lineRule="exact"/>
                    <w:contextualSpacing/>
                    <w:jc w:val="center"/>
                    <w:rPr>
                      <w:rFonts w:hint="eastAsia" w:ascii="仿宋_GB2312" w:hAnsi="仿宋" w:eastAsia="仿宋_GB2312"/>
                      <w:sz w:val="24"/>
                      <w:szCs w:val="24"/>
                    </w:rPr>
                  </w:pPr>
                  <w:r>
                    <w:rPr>
                      <w:rFonts w:hint="eastAsia" w:ascii="仿宋_GB2312" w:hAnsi="仿宋" w:eastAsia="仿宋_GB2312"/>
                      <w:sz w:val="24"/>
                      <w:szCs w:val="24"/>
                    </w:rPr>
                    <w:t>320/S</w:t>
                  </w:r>
                </w:p>
              </w:tc>
            </w:tr>
            <w:tr w14:paraId="08C505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23" w:type="dxa"/>
                  <w:tcBorders>
                    <w:top w:val="single" w:color="000000" w:sz="4" w:space="0"/>
                    <w:left w:val="single" w:color="000000" w:sz="4" w:space="0"/>
                    <w:bottom w:val="single" w:color="000000" w:sz="4" w:space="0"/>
                    <w:right w:val="single" w:color="000000" w:sz="4" w:space="0"/>
                  </w:tcBorders>
                  <w:noWrap w:val="0"/>
                  <w:vAlign w:val="top"/>
                </w:tcPr>
                <w:p w14:paraId="6CDF8F02">
                  <w:pPr>
                    <w:pStyle w:val="13"/>
                    <w:spacing w:line="480" w:lineRule="exact"/>
                    <w:contextualSpacing/>
                    <w:jc w:val="center"/>
                    <w:rPr>
                      <w:rFonts w:hint="eastAsia" w:ascii="仿宋_GB2312" w:hAnsi="仿宋" w:eastAsia="仿宋_GB2312"/>
                      <w:sz w:val="24"/>
                      <w:szCs w:val="24"/>
                    </w:rPr>
                  </w:pPr>
                  <w:r>
                    <w:rPr>
                      <w:rFonts w:hint="eastAsia" w:ascii="仿宋_GB2312" w:hAnsi="仿宋" w:eastAsia="仿宋_GB2312"/>
                      <w:sz w:val="24"/>
                      <w:szCs w:val="24"/>
                    </w:rPr>
                    <w:t>轴6翻转</w:t>
                  </w:r>
                </w:p>
              </w:tc>
              <w:tc>
                <w:tcPr>
                  <w:tcW w:w="1750" w:type="dxa"/>
                  <w:tcBorders>
                    <w:top w:val="single" w:color="000000" w:sz="4" w:space="0"/>
                    <w:left w:val="single" w:color="000000" w:sz="4" w:space="0"/>
                    <w:bottom w:val="single" w:color="000000" w:sz="4" w:space="0"/>
                    <w:right w:val="single" w:color="000000" w:sz="4" w:space="0"/>
                  </w:tcBorders>
                  <w:noWrap w:val="0"/>
                  <w:vAlign w:val="top"/>
                </w:tcPr>
                <w:p w14:paraId="0F7221CD">
                  <w:pPr>
                    <w:pStyle w:val="13"/>
                    <w:spacing w:line="480" w:lineRule="exact"/>
                    <w:contextualSpacing/>
                    <w:jc w:val="center"/>
                    <w:rPr>
                      <w:rFonts w:hint="eastAsia" w:ascii="仿宋_GB2312" w:hAnsi="仿宋" w:eastAsia="仿宋_GB2312"/>
                      <w:sz w:val="24"/>
                      <w:szCs w:val="24"/>
                    </w:rPr>
                  </w:pPr>
                  <w:r>
                    <w:rPr>
                      <w:rFonts w:hint="eastAsia" w:ascii="仿宋_GB2312" w:hAnsi="仿宋" w:eastAsia="仿宋_GB2312"/>
                      <w:sz w:val="24"/>
                      <w:szCs w:val="24"/>
                    </w:rPr>
                    <w:t>+400</w:t>
                  </w:r>
                  <w:r>
                    <w:rPr>
                      <w:rFonts w:ascii="Calibri" w:hAnsi="Calibri" w:eastAsia="仿宋_GB2312" w:cs="Calibri"/>
                      <w:sz w:val="24"/>
                      <w:szCs w:val="24"/>
                    </w:rPr>
                    <w:t>º</w:t>
                  </w:r>
                  <w:r>
                    <w:rPr>
                      <w:rFonts w:hint="eastAsia" w:ascii="Calibri" w:hAnsi="Calibri" w:eastAsia="仿宋_GB2312" w:cs="Calibri"/>
                      <w:sz w:val="24"/>
                      <w:szCs w:val="24"/>
                      <w:lang w:eastAsia="zh-CN"/>
                    </w:rPr>
                    <w:t>~</w:t>
                  </w:r>
                  <w:r>
                    <w:rPr>
                      <w:rFonts w:hint="eastAsia" w:ascii="仿宋_GB2312" w:hAnsi="仿宋" w:eastAsia="仿宋_GB2312"/>
                      <w:sz w:val="24"/>
                      <w:szCs w:val="24"/>
                    </w:rPr>
                    <w:t>-400</w:t>
                  </w:r>
                </w:p>
              </w:tc>
              <w:tc>
                <w:tcPr>
                  <w:tcW w:w="1276" w:type="dxa"/>
                  <w:tcBorders>
                    <w:top w:val="single" w:color="000000" w:sz="4" w:space="0"/>
                    <w:left w:val="single" w:color="000000" w:sz="4" w:space="0"/>
                    <w:bottom w:val="single" w:color="000000" w:sz="4" w:space="0"/>
                    <w:right w:val="single" w:color="000000" w:sz="4" w:space="0"/>
                  </w:tcBorders>
                  <w:noWrap w:val="0"/>
                  <w:vAlign w:val="top"/>
                </w:tcPr>
                <w:p w14:paraId="7C7B3F56">
                  <w:pPr>
                    <w:pStyle w:val="13"/>
                    <w:spacing w:line="480" w:lineRule="exact"/>
                    <w:contextualSpacing/>
                    <w:jc w:val="center"/>
                    <w:rPr>
                      <w:rFonts w:hint="eastAsia" w:ascii="仿宋_GB2312" w:hAnsi="仿宋" w:eastAsia="仿宋_GB2312"/>
                      <w:sz w:val="24"/>
                      <w:szCs w:val="24"/>
                    </w:rPr>
                  </w:pPr>
                  <w:r>
                    <w:rPr>
                      <w:rFonts w:hint="eastAsia" w:ascii="仿宋_GB2312" w:hAnsi="仿宋" w:eastAsia="仿宋_GB2312"/>
                      <w:sz w:val="24"/>
                      <w:szCs w:val="24"/>
                    </w:rPr>
                    <w:t>420/S</w:t>
                  </w:r>
                </w:p>
              </w:tc>
            </w:tr>
          </w:tbl>
          <w:p w14:paraId="2C391CE3">
            <w:pPr>
              <w:pStyle w:val="13"/>
              <w:spacing w:line="480" w:lineRule="exact"/>
              <w:contextualSpacing/>
              <w:rPr>
                <w:rFonts w:hint="eastAsia" w:ascii="仿宋_GB2312" w:hAnsi="仿宋" w:eastAsia="仿宋_GB2312"/>
                <w:sz w:val="24"/>
                <w:szCs w:val="24"/>
              </w:rPr>
            </w:pPr>
          </w:p>
        </w:tc>
        <w:tc>
          <w:tcPr>
            <w:tcW w:w="708" w:type="dxa"/>
            <w:noWrap w:val="0"/>
            <w:vAlign w:val="center"/>
          </w:tcPr>
          <w:p w14:paraId="24A2C7E8">
            <w:pPr>
              <w:pStyle w:val="12"/>
              <w:spacing w:line="480" w:lineRule="exact"/>
              <w:ind w:firstLine="600"/>
              <w:contextualSpacing/>
              <w:rPr>
                <w:rFonts w:hint="eastAsia" w:ascii="仿宋_GB2312" w:eastAsia="仿宋_GB2312"/>
              </w:rPr>
            </w:pPr>
            <w:r>
              <w:rPr>
                <w:rFonts w:hint="eastAsia" w:ascii="仿宋_GB2312" w:eastAsia="仿宋_GB2312"/>
              </w:rPr>
              <w:t>1</w:t>
            </w:r>
            <w:r>
              <w:rPr>
                <w:rFonts w:hint="eastAsia" w:ascii="仿宋_GB2312" w:eastAsia="仿宋_GB2312"/>
                <w:lang w:val="en-US" w:eastAsia="zh-CN"/>
              </w:rPr>
              <w:t>1</w:t>
            </w:r>
            <w:r>
              <w:rPr>
                <w:rFonts w:hint="eastAsia" w:ascii="仿宋_GB2312" w:eastAsia="仿宋_GB2312"/>
              </w:rPr>
              <w:t>套</w:t>
            </w:r>
          </w:p>
        </w:tc>
        <w:tc>
          <w:tcPr>
            <w:tcW w:w="1701" w:type="dxa"/>
            <w:noWrap w:val="0"/>
            <w:vAlign w:val="center"/>
          </w:tcPr>
          <w:p w14:paraId="350BE4AC">
            <w:pPr>
              <w:pStyle w:val="13"/>
              <w:spacing w:line="480" w:lineRule="exact"/>
              <w:contextualSpacing/>
              <w:jc w:val="center"/>
              <w:rPr>
                <w:rFonts w:hint="eastAsia" w:ascii="仿宋_GB2312" w:hAnsi="宋体" w:eastAsia="仿宋_GB2312"/>
              </w:rPr>
            </w:pPr>
            <w:r>
              <w:rPr>
                <w:rFonts w:hint="eastAsia" w:ascii="仿宋_GB2312" w:hAnsi="宋体" w:eastAsia="仿宋_GB2312"/>
              </w:rPr>
              <w:t>ABBIRB120</w:t>
            </w:r>
          </w:p>
        </w:tc>
      </w:tr>
      <w:tr w14:paraId="7DD98A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54" w:type="dxa"/>
            <w:noWrap w:val="0"/>
            <w:vAlign w:val="center"/>
          </w:tcPr>
          <w:p w14:paraId="237953A4">
            <w:pPr>
              <w:pStyle w:val="12"/>
              <w:spacing w:line="480" w:lineRule="exact"/>
              <w:contextualSpacing/>
              <w:rPr>
                <w:rFonts w:hint="eastAsia" w:ascii="仿宋_GB2312" w:hAnsi="仿宋" w:eastAsia="仿宋_GB2312"/>
                <w:szCs w:val="24"/>
              </w:rPr>
            </w:pPr>
            <w:r>
              <w:rPr>
                <w:rFonts w:hint="eastAsia" w:ascii="仿宋_GB2312" w:hAnsi="仿宋" w:eastAsia="仿宋_GB2312"/>
                <w:szCs w:val="24"/>
              </w:rPr>
              <w:t>2</w:t>
            </w:r>
          </w:p>
        </w:tc>
        <w:tc>
          <w:tcPr>
            <w:tcW w:w="992" w:type="dxa"/>
            <w:noWrap w:val="0"/>
            <w:vAlign w:val="center"/>
          </w:tcPr>
          <w:p w14:paraId="0131A59F">
            <w:pPr>
              <w:pStyle w:val="12"/>
              <w:spacing w:line="480" w:lineRule="exact"/>
              <w:contextualSpacing/>
              <w:rPr>
                <w:rFonts w:hint="eastAsia" w:ascii="仿宋_GB2312" w:hAnsi="仿宋" w:eastAsia="仿宋_GB2312"/>
                <w:szCs w:val="24"/>
              </w:rPr>
            </w:pPr>
            <w:r>
              <w:rPr>
                <w:rFonts w:hint="eastAsia" w:ascii="仿宋_GB2312" w:hAnsi="仿宋" w:eastAsia="仿宋_GB2312"/>
                <w:szCs w:val="24"/>
              </w:rPr>
              <w:t>机器人工具</w:t>
            </w:r>
          </w:p>
        </w:tc>
        <w:tc>
          <w:tcPr>
            <w:tcW w:w="4315" w:type="dxa"/>
            <w:noWrap w:val="0"/>
            <w:vAlign w:val="center"/>
          </w:tcPr>
          <w:p w14:paraId="1D0D0C21">
            <w:pPr>
              <w:pStyle w:val="13"/>
              <w:spacing w:line="480" w:lineRule="exact"/>
              <w:ind w:firstLine="480" w:firstLineChars="200"/>
              <w:contextualSpacing/>
              <w:rPr>
                <w:rFonts w:hint="eastAsia" w:ascii="仿宋_GB2312" w:hAnsi="仿宋" w:eastAsia="仿宋_GB2312"/>
                <w:sz w:val="24"/>
                <w:szCs w:val="24"/>
              </w:rPr>
            </w:pPr>
            <w:r>
              <w:rPr>
                <w:rFonts w:hint="eastAsia" w:ascii="仿宋_GB2312" w:hAnsi="仿宋" w:eastAsia="仿宋_GB2312"/>
                <w:sz w:val="24"/>
                <w:szCs w:val="24"/>
              </w:rPr>
              <w:t>采用工具快换系统实现机器人无需人为可在干涉不同工具间的快速更换；工艺工具包含4个，分为涂胶工具、夹爪工具、吸盘工具和锁螺丝工具。</w:t>
            </w:r>
          </w:p>
        </w:tc>
        <w:tc>
          <w:tcPr>
            <w:tcW w:w="708" w:type="dxa"/>
            <w:noWrap w:val="0"/>
            <w:vAlign w:val="center"/>
          </w:tcPr>
          <w:p w14:paraId="7210B6BE">
            <w:pPr>
              <w:pStyle w:val="12"/>
              <w:spacing w:line="480" w:lineRule="exact"/>
              <w:ind w:firstLine="600"/>
              <w:contextualSpacing/>
              <w:rPr>
                <w:rFonts w:hint="eastAsia" w:ascii="仿宋_GB2312" w:eastAsia="仿宋_GB2312"/>
              </w:rPr>
            </w:pPr>
            <w:r>
              <w:rPr>
                <w:rFonts w:hint="eastAsia" w:ascii="仿宋_GB2312" w:eastAsia="仿宋_GB2312"/>
              </w:rPr>
              <w:t>1</w:t>
            </w:r>
            <w:r>
              <w:rPr>
                <w:rFonts w:hint="eastAsia" w:ascii="仿宋_GB2312" w:eastAsia="仿宋_GB2312"/>
                <w:lang w:val="en-US" w:eastAsia="zh-CN"/>
              </w:rPr>
              <w:t>1</w:t>
            </w:r>
            <w:r>
              <w:rPr>
                <w:rFonts w:hint="eastAsia" w:ascii="仿宋_GB2312" w:eastAsia="仿宋_GB2312"/>
              </w:rPr>
              <w:t>套</w:t>
            </w:r>
          </w:p>
        </w:tc>
        <w:tc>
          <w:tcPr>
            <w:tcW w:w="1701" w:type="dxa"/>
            <w:noWrap w:val="0"/>
            <w:vAlign w:val="center"/>
          </w:tcPr>
          <w:p w14:paraId="1B997007">
            <w:pPr>
              <w:pStyle w:val="13"/>
              <w:spacing w:line="480" w:lineRule="exact"/>
              <w:ind w:firstLine="600"/>
              <w:contextualSpacing/>
              <w:rPr>
                <w:rFonts w:hint="eastAsia" w:ascii="仿宋_GB2312" w:eastAsia="仿宋_GB2312"/>
              </w:rPr>
            </w:pPr>
          </w:p>
        </w:tc>
      </w:tr>
      <w:tr w14:paraId="33415C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54" w:type="dxa"/>
            <w:noWrap w:val="0"/>
            <w:vAlign w:val="center"/>
          </w:tcPr>
          <w:p w14:paraId="5FEAF675">
            <w:pPr>
              <w:pStyle w:val="12"/>
              <w:spacing w:line="480" w:lineRule="exact"/>
              <w:contextualSpacing/>
              <w:rPr>
                <w:rFonts w:hint="eastAsia" w:ascii="仿宋_GB2312" w:hAnsi="仿宋" w:eastAsia="仿宋_GB2312"/>
                <w:szCs w:val="24"/>
              </w:rPr>
            </w:pPr>
            <w:r>
              <w:rPr>
                <w:rFonts w:hint="eastAsia" w:ascii="仿宋_GB2312" w:hAnsi="仿宋" w:eastAsia="仿宋_GB2312"/>
                <w:szCs w:val="24"/>
              </w:rPr>
              <w:t>3</w:t>
            </w:r>
          </w:p>
        </w:tc>
        <w:tc>
          <w:tcPr>
            <w:tcW w:w="992" w:type="dxa"/>
            <w:noWrap w:val="0"/>
            <w:vAlign w:val="center"/>
          </w:tcPr>
          <w:p w14:paraId="17A48AED">
            <w:pPr>
              <w:pStyle w:val="12"/>
              <w:spacing w:line="480" w:lineRule="exact"/>
              <w:contextualSpacing/>
              <w:rPr>
                <w:rFonts w:hint="eastAsia" w:ascii="仿宋_GB2312" w:hAnsi="仿宋" w:eastAsia="仿宋_GB2312"/>
                <w:szCs w:val="24"/>
              </w:rPr>
            </w:pPr>
            <w:r>
              <w:rPr>
                <w:rFonts w:hint="eastAsia" w:ascii="仿宋_GB2312" w:hAnsi="仿宋" w:eastAsia="仿宋_GB2312"/>
                <w:szCs w:val="24"/>
              </w:rPr>
              <w:t>涂胶模块</w:t>
            </w:r>
          </w:p>
        </w:tc>
        <w:tc>
          <w:tcPr>
            <w:tcW w:w="4315" w:type="dxa"/>
            <w:noWrap w:val="0"/>
            <w:vAlign w:val="center"/>
          </w:tcPr>
          <w:p w14:paraId="25E10526">
            <w:pPr>
              <w:pStyle w:val="13"/>
              <w:spacing w:line="480" w:lineRule="exact"/>
              <w:ind w:firstLine="480" w:firstLineChars="200"/>
              <w:contextualSpacing/>
              <w:rPr>
                <w:rFonts w:hint="eastAsia" w:ascii="仿宋_GB2312" w:hAnsi="仿宋" w:eastAsia="仿宋_GB2312"/>
                <w:sz w:val="24"/>
                <w:szCs w:val="24"/>
              </w:rPr>
            </w:pPr>
            <w:r>
              <w:rPr>
                <w:rFonts w:hint="eastAsia" w:ascii="仿宋_GB2312" w:hAnsi="仿宋" w:eastAsia="仿宋_GB2312"/>
                <w:sz w:val="24"/>
                <w:szCs w:val="24"/>
              </w:rPr>
              <w:t>具有拱形面，涂胶轨迹包括不同形状的产品外壳图形，码垛产品的指定位置图形，以及不同位置、不同指向的基准坐标系，轨迹贴纸共5张。</w:t>
            </w:r>
          </w:p>
        </w:tc>
        <w:tc>
          <w:tcPr>
            <w:tcW w:w="708" w:type="dxa"/>
            <w:noWrap w:val="0"/>
            <w:vAlign w:val="center"/>
          </w:tcPr>
          <w:p w14:paraId="53D35502">
            <w:pPr>
              <w:pStyle w:val="12"/>
              <w:spacing w:line="480" w:lineRule="exact"/>
              <w:ind w:firstLine="600"/>
              <w:contextualSpacing/>
              <w:rPr>
                <w:rFonts w:hint="eastAsia" w:ascii="仿宋_GB2312" w:eastAsia="仿宋_GB2312"/>
              </w:rPr>
            </w:pPr>
            <w:r>
              <w:rPr>
                <w:rFonts w:hint="eastAsia" w:ascii="仿宋_GB2312" w:eastAsia="仿宋_GB2312"/>
              </w:rPr>
              <w:t>1</w:t>
            </w:r>
            <w:r>
              <w:rPr>
                <w:rFonts w:hint="eastAsia" w:ascii="仿宋_GB2312" w:eastAsia="仿宋_GB2312"/>
                <w:lang w:val="en-US" w:eastAsia="zh-CN"/>
              </w:rPr>
              <w:t>1</w:t>
            </w:r>
            <w:r>
              <w:rPr>
                <w:rFonts w:hint="eastAsia" w:ascii="仿宋_GB2312" w:eastAsia="仿宋_GB2312"/>
              </w:rPr>
              <w:t>套</w:t>
            </w:r>
          </w:p>
        </w:tc>
        <w:tc>
          <w:tcPr>
            <w:tcW w:w="1701" w:type="dxa"/>
            <w:noWrap w:val="0"/>
            <w:vAlign w:val="center"/>
          </w:tcPr>
          <w:p w14:paraId="4BF22813">
            <w:pPr>
              <w:pStyle w:val="13"/>
              <w:spacing w:line="480" w:lineRule="exact"/>
              <w:ind w:firstLine="600"/>
              <w:contextualSpacing/>
              <w:rPr>
                <w:rFonts w:hint="eastAsia" w:ascii="仿宋_GB2312" w:eastAsia="仿宋_GB2312"/>
              </w:rPr>
            </w:pPr>
          </w:p>
        </w:tc>
      </w:tr>
      <w:tr w14:paraId="536929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54" w:type="dxa"/>
            <w:noWrap w:val="0"/>
            <w:vAlign w:val="center"/>
          </w:tcPr>
          <w:p w14:paraId="3FC763D4">
            <w:pPr>
              <w:pStyle w:val="12"/>
              <w:spacing w:line="480" w:lineRule="exact"/>
              <w:contextualSpacing/>
              <w:rPr>
                <w:rFonts w:hint="eastAsia" w:ascii="仿宋_GB2312" w:hAnsi="仿宋" w:eastAsia="仿宋_GB2312"/>
                <w:szCs w:val="24"/>
              </w:rPr>
            </w:pPr>
            <w:r>
              <w:rPr>
                <w:rFonts w:hint="eastAsia" w:ascii="仿宋_GB2312" w:hAnsi="仿宋" w:eastAsia="仿宋_GB2312"/>
                <w:szCs w:val="24"/>
              </w:rPr>
              <w:t>4</w:t>
            </w:r>
          </w:p>
        </w:tc>
        <w:tc>
          <w:tcPr>
            <w:tcW w:w="992" w:type="dxa"/>
            <w:noWrap w:val="0"/>
            <w:vAlign w:val="center"/>
          </w:tcPr>
          <w:p w14:paraId="15DEE4DF">
            <w:pPr>
              <w:pStyle w:val="12"/>
              <w:spacing w:line="480" w:lineRule="exact"/>
              <w:contextualSpacing/>
              <w:rPr>
                <w:rFonts w:hint="eastAsia" w:ascii="仿宋_GB2312" w:hAnsi="仿宋" w:eastAsia="仿宋_GB2312"/>
                <w:szCs w:val="24"/>
              </w:rPr>
            </w:pPr>
            <w:r>
              <w:rPr>
                <w:rFonts w:hint="eastAsia" w:ascii="仿宋_GB2312" w:hAnsi="仿宋" w:eastAsia="仿宋_GB2312"/>
                <w:szCs w:val="24"/>
              </w:rPr>
              <w:t>搬运码垛模块</w:t>
            </w:r>
          </w:p>
        </w:tc>
        <w:tc>
          <w:tcPr>
            <w:tcW w:w="4315" w:type="dxa"/>
            <w:noWrap w:val="0"/>
            <w:vAlign w:val="center"/>
          </w:tcPr>
          <w:p w14:paraId="5E0FBBD1">
            <w:pPr>
              <w:pStyle w:val="13"/>
              <w:spacing w:line="480" w:lineRule="exact"/>
              <w:ind w:firstLine="480" w:firstLineChars="200"/>
              <w:contextualSpacing/>
              <w:rPr>
                <w:rFonts w:hint="eastAsia" w:ascii="仿宋_GB2312" w:hAnsi="仿宋" w:eastAsia="仿宋_GB2312"/>
                <w:sz w:val="24"/>
                <w:szCs w:val="24"/>
              </w:rPr>
            </w:pPr>
            <w:r>
              <w:rPr>
                <w:rFonts w:hint="eastAsia" w:ascii="仿宋_GB2312" w:hAnsi="仿宋" w:eastAsia="仿宋_GB2312"/>
                <w:sz w:val="24"/>
                <w:szCs w:val="24"/>
              </w:rPr>
              <w:t>提供多个产品物料和2个存放台，方形产片物料为塑料材质。</w:t>
            </w:r>
          </w:p>
        </w:tc>
        <w:tc>
          <w:tcPr>
            <w:tcW w:w="708" w:type="dxa"/>
            <w:noWrap w:val="0"/>
            <w:vAlign w:val="center"/>
          </w:tcPr>
          <w:p w14:paraId="5F079660">
            <w:pPr>
              <w:pStyle w:val="12"/>
              <w:spacing w:line="480" w:lineRule="exact"/>
              <w:ind w:firstLine="600"/>
              <w:contextualSpacing/>
              <w:rPr>
                <w:rFonts w:hint="eastAsia" w:ascii="仿宋_GB2312" w:eastAsia="仿宋_GB2312"/>
              </w:rPr>
            </w:pPr>
            <w:r>
              <w:rPr>
                <w:rFonts w:hint="eastAsia" w:ascii="仿宋_GB2312" w:eastAsia="仿宋_GB2312"/>
              </w:rPr>
              <w:t>1</w:t>
            </w:r>
            <w:r>
              <w:rPr>
                <w:rFonts w:hint="eastAsia" w:ascii="仿宋_GB2312" w:eastAsia="仿宋_GB2312"/>
                <w:lang w:val="en-US" w:eastAsia="zh-CN"/>
              </w:rPr>
              <w:t>1</w:t>
            </w:r>
            <w:r>
              <w:rPr>
                <w:rFonts w:hint="eastAsia" w:ascii="仿宋_GB2312" w:eastAsia="仿宋_GB2312"/>
              </w:rPr>
              <w:t>套</w:t>
            </w:r>
          </w:p>
        </w:tc>
        <w:tc>
          <w:tcPr>
            <w:tcW w:w="1701" w:type="dxa"/>
            <w:noWrap w:val="0"/>
            <w:vAlign w:val="center"/>
          </w:tcPr>
          <w:p w14:paraId="386315C6">
            <w:pPr>
              <w:pStyle w:val="13"/>
              <w:spacing w:line="480" w:lineRule="exact"/>
              <w:ind w:firstLine="600"/>
              <w:contextualSpacing/>
              <w:rPr>
                <w:rFonts w:hint="eastAsia" w:ascii="仿宋_GB2312" w:eastAsia="仿宋_GB2312"/>
              </w:rPr>
            </w:pPr>
          </w:p>
        </w:tc>
      </w:tr>
      <w:tr w14:paraId="241D72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54" w:type="dxa"/>
            <w:noWrap w:val="0"/>
            <w:vAlign w:val="center"/>
          </w:tcPr>
          <w:p w14:paraId="3BDF127C">
            <w:pPr>
              <w:pStyle w:val="12"/>
              <w:spacing w:line="480" w:lineRule="exact"/>
              <w:contextualSpacing/>
              <w:rPr>
                <w:rFonts w:hint="eastAsia" w:ascii="仿宋_GB2312" w:hAnsi="仿宋" w:eastAsia="仿宋_GB2312"/>
                <w:szCs w:val="24"/>
              </w:rPr>
            </w:pPr>
            <w:r>
              <w:rPr>
                <w:rFonts w:hint="eastAsia" w:ascii="仿宋_GB2312" w:hAnsi="仿宋" w:eastAsia="仿宋_GB2312"/>
                <w:szCs w:val="24"/>
              </w:rPr>
              <w:t>5</w:t>
            </w:r>
          </w:p>
        </w:tc>
        <w:tc>
          <w:tcPr>
            <w:tcW w:w="992" w:type="dxa"/>
            <w:noWrap w:val="0"/>
            <w:vAlign w:val="center"/>
          </w:tcPr>
          <w:p w14:paraId="2871FAC2">
            <w:pPr>
              <w:pStyle w:val="12"/>
              <w:spacing w:line="480" w:lineRule="exact"/>
              <w:contextualSpacing/>
              <w:rPr>
                <w:rFonts w:hint="eastAsia" w:ascii="仿宋_GB2312" w:hAnsi="仿宋" w:eastAsia="仿宋_GB2312"/>
                <w:szCs w:val="24"/>
              </w:rPr>
            </w:pPr>
            <w:r>
              <w:rPr>
                <w:rFonts w:hint="eastAsia" w:ascii="仿宋_GB2312" w:hAnsi="仿宋" w:eastAsia="仿宋_GB2312"/>
                <w:szCs w:val="24"/>
              </w:rPr>
              <w:t>异形芯片原料单元</w:t>
            </w:r>
          </w:p>
        </w:tc>
        <w:tc>
          <w:tcPr>
            <w:tcW w:w="4315" w:type="dxa"/>
            <w:noWrap w:val="0"/>
            <w:vAlign w:val="center"/>
          </w:tcPr>
          <w:p w14:paraId="60D3D4A7">
            <w:pPr>
              <w:pStyle w:val="13"/>
              <w:spacing w:line="480" w:lineRule="exact"/>
              <w:ind w:firstLine="480" w:firstLineChars="200"/>
              <w:contextualSpacing/>
              <w:rPr>
                <w:rFonts w:hint="eastAsia" w:ascii="仿宋_GB2312" w:hAnsi="仿宋" w:eastAsia="仿宋_GB2312"/>
                <w:sz w:val="24"/>
                <w:szCs w:val="24"/>
              </w:rPr>
            </w:pPr>
            <w:r>
              <w:rPr>
                <w:rFonts w:hint="eastAsia" w:ascii="仿宋_GB2312" w:hAnsi="仿宋" w:eastAsia="仿宋_GB2312"/>
                <w:sz w:val="24"/>
                <w:szCs w:val="24"/>
              </w:rPr>
              <w:t>用于存放异形芯片原料、盖板等，托盘为塑料材质，支撑为铝合金型材。</w:t>
            </w:r>
          </w:p>
        </w:tc>
        <w:tc>
          <w:tcPr>
            <w:tcW w:w="708" w:type="dxa"/>
            <w:noWrap w:val="0"/>
            <w:vAlign w:val="center"/>
          </w:tcPr>
          <w:p w14:paraId="33968263">
            <w:pPr>
              <w:pStyle w:val="12"/>
              <w:spacing w:line="480" w:lineRule="exact"/>
              <w:ind w:firstLine="600"/>
              <w:contextualSpacing/>
              <w:rPr>
                <w:rFonts w:hint="eastAsia" w:ascii="仿宋_GB2312" w:eastAsia="仿宋_GB2312"/>
              </w:rPr>
            </w:pPr>
            <w:r>
              <w:rPr>
                <w:rFonts w:hint="eastAsia" w:ascii="仿宋_GB2312" w:eastAsia="仿宋_GB2312"/>
              </w:rPr>
              <w:t>1</w:t>
            </w:r>
            <w:r>
              <w:rPr>
                <w:rFonts w:hint="eastAsia" w:ascii="仿宋_GB2312" w:eastAsia="仿宋_GB2312"/>
                <w:lang w:val="en-US" w:eastAsia="zh-CN"/>
              </w:rPr>
              <w:t>1</w:t>
            </w:r>
            <w:r>
              <w:rPr>
                <w:rFonts w:hint="eastAsia" w:ascii="仿宋_GB2312" w:eastAsia="仿宋_GB2312"/>
              </w:rPr>
              <w:t>套</w:t>
            </w:r>
          </w:p>
        </w:tc>
        <w:tc>
          <w:tcPr>
            <w:tcW w:w="1701" w:type="dxa"/>
            <w:noWrap w:val="0"/>
            <w:vAlign w:val="center"/>
          </w:tcPr>
          <w:p w14:paraId="25E929F6">
            <w:pPr>
              <w:pStyle w:val="13"/>
              <w:spacing w:line="480" w:lineRule="exact"/>
              <w:ind w:firstLine="600"/>
              <w:contextualSpacing/>
              <w:rPr>
                <w:rFonts w:hint="eastAsia" w:ascii="仿宋_GB2312" w:eastAsia="仿宋_GB2312"/>
              </w:rPr>
            </w:pPr>
          </w:p>
        </w:tc>
      </w:tr>
      <w:tr w14:paraId="39F941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54" w:type="dxa"/>
            <w:noWrap w:val="0"/>
            <w:vAlign w:val="center"/>
          </w:tcPr>
          <w:p w14:paraId="599BC6F6">
            <w:pPr>
              <w:pStyle w:val="12"/>
              <w:spacing w:line="480" w:lineRule="exact"/>
              <w:contextualSpacing/>
              <w:rPr>
                <w:rFonts w:hint="eastAsia" w:ascii="仿宋_GB2312" w:hAnsi="仿宋" w:eastAsia="仿宋_GB2312"/>
                <w:szCs w:val="24"/>
              </w:rPr>
            </w:pPr>
            <w:r>
              <w:rPr>
                <w:rFonts w:hint="eastAsia" w:ascii="仿宋_GB2312" w:hAnsi="仿宋" w:eastAsia="仿宋_GB2312"/>
                <w:szCs w:val="24"/>
              </w:rPr>
              <w:t>6</w:t>
            </w:r>
          </w:p>
        </w:tc>
        <w:tc>
          <w:tcPr>
            <w:tcW w:w="992" w:type="dxa"/>
            <w:noWrap w:val="0"/>
            <w:vAlign w:val="center"/>
          </w:tcPr>
          <w:p w14:paraId="22841C47">
            <w:pPr>
              <w:pStyle w:val="12"/>
              <w:spacing w:line="480" w:lineRule="exact"/>
              <w:contextualSpacing/>
              <w:rPr>
                <w:rFonts w:hint="eastAsia" w:ascii="仿宋_GB2312" w:hAnsi="仿宋" w:eastAsia="仿宋_GB2312"/>
                <w:szCs w:val="24"/>
              </w:rPr>
            </w:pPr>
            <w:r>
              <w:rPr>
                <w:rFonts w:hint="eastAsia" w:ascii="仿宋_GB2312" w:hAnsi="仿宋" w:eastAsia="仿宋_GB2312"/>
                <w:szCs w:val="24"/>
              </w:rPr>
              <w:t>异形芯片装配单元</w:t>
            </w:r>
          </w:p>
        </w:tc>
        <w:tc>
          <w:tcPr>
            <w:tcW w:w="4315" w:type="dxa"/>
            <w:noWrap w:val="0"/>
            <w:vAlign w:val="center"/>
          </w:tcPr>
          <w:p w14:paraId="0A5EF379">
            <w:pPr>
              <w:pStyle w:val="13"/>
              <w:spacing w:line="480" w:lineRule="exact"/>
              <w:ind w:firstLine="480" w:firstLineChars="200"/>
              <w:contextualSpacing/>
              <w:rPr>
                <w:rFonts w:hint="eastAsia" w:ascii="仿宋_GB2312" w:hAnsi="仿宋" w:eastAsia="仿宋_GB2312"/>
                <w:sz w:val="24"/>
                <w:szCs w:val="24"/>
              </w:rPr>
            </w:pPr>
            <w:r>
              <w:rPr>
                <w:rFonts w:hint="eastAsia" w:ascii="仿宋_GB2312" w:hAnsi="仿宋" w:eastAsia="仿宋_GB2312"/>
                <w:sz w:val="24"/>
                <w:szCs w:val="24"/>
              </w:rPr>
              <w:t>包含多个装配工位，完成芯片装配后可将产品推入检测位进行测试，采用无杆气缸驱动</w:t>
            </w:r>
            <w:r>
              <w:rPr>
                <w:rFonts w:hint="eastAsia" w:ascii="仿宋_GB2312" w:hAnsi="仿宋" w:eastAsia="仿宋_GB2312"/>
                <w:sz w:val="24"/>
                <w:szCs w:val="24"/>
                <w:lang w:eastAsia="zh-CN"/>
              </w:rPr>
              <w:t>，包</w:t>
            </w:r>
            <w:r>
              <w:rPr>
                <w:rFonts w:hint="eastAsia" w:ascii="仿宋_GB2312" w:hAnsi="仿宋" w:eastAsia="仿宋_GB2312"/>
                <w:sz w:val="24"/>
                <w:szCs w:val="24"/>
              </w:rPr>
              <w:t>含到位传感器和检测结果指示灯。</w:t>
            </w:r>
          </w:p>
        </w:tc>
        <w:tc>
          <w:tcPr>
            <w:tcW w:w="708" w:type="dxa"/>
            <w:noWrap w:val="0"/>
            <w:vAlign w:val="center"/>
          </w:tcPr>
          <w:p w14:paraId="7BA153F8">
            <w:pPr>
              <w:pStyle w:val="12"/>
              <w:spacing w:line="480" w:lineRule="exact"/>
              <w:ind w:firstLine="600"/>
              <w:contextualSpacing/>
              <w:rPr>
                <w:rFonts w:hint="eastAsia" w:ascii="仿宋_GB2312" w:eastAsia="仿宋_GB2312"/>
              </w:rPr>
            </w:pPr>
            <w:r>
              <w:rPr>
                <w:rFonts w:hint="eastAsia" w:ascii="仿宋_GB2312" w:eastAsia="仿宋_GB2312"/>
              </w:rPr>
              <w:t>1</w:t>
            </w:r>
            <w:r>
              <w:rPr>
                <w:rFonts w:hint="eastAsia" w:ascii="仿宋_GB2312" w:eastAsia="仿宋_GB2312"/>
                <w:lang w:val="en-US" w:eastAsia="zh-CN"/>
              </w:rPr>
              <w:t>1</w:t>
            </w:r>
            <w:r>
              <w:rPr>
                <w:rFonts w:hint="eastAsia" w:ascii="仿宋_GB2312" w:eastAsia="仿宋_GB2312"/>
              </w:rPr>
              <w:t>套</w:t>
            </w:r>
          </w:p>
        </w:tc>
        <w:tc>
          <w:tcPr>
            <w:tcW w:w="1701" w:type="dxa"/>
            <w:noWrap w:val="0"/>
            <w:vAlign w:val="center"/>
          </w:tcPr>
          <w:p w14:paraId="0EF70CC8">
            <w:pPr>
              <w:pStyle w:val="13"/>
              <w:spacing w:line="480" w:lineRule="exact"/>
              <w:ind w:firstLine="600"/>
              <w:contextualSpacing/>
              <w:rPr>
                <w:rFonts w:hint="eastAsia" w:ascii="仿宋_GB2312" w:eastAsia="仿宋_GB2312"/>
              </w:rPr>
            </w:pPr>
          </w:p>
        </w:tc>
      </w:tr>
      <w:tr w14:paraId="47D0B5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54" w:type="dxa"/>
            <w:noWrap w:val="0"/>
            <w:vAlign w:val="center"/>
          </w:tcPr>
          <w:p w14:paraId="56E01DAB">
            <w:pPr>
              <w:pStyle w:val="12"/>
              <w:spacing w:line="480" w:lineRule="exact"/>
              <w:contextualSpacing/>
              <w:rPr>
                <w:rFonts w:hint="eastAsia" w:ascii="仿宋_GB2312" w:hAnsi="仿宋" w:eastAsia="仿宋_GB2312"/>
                <w:szCs w:val="24"/>
              </w:rPr>
            </w:pPr>
            <w:r>
              <w:rPr>
                <w:rFonts w:hint="eastAsia" w:ascii="仿宋_GB2312" w:hAnsi="仿宋" w:eastAsia="仿宋_GB2312"/>
                <w:szCs w:val="24"/>
              </w:rPr>
              <w:t>7</w:t>
            </w:r>
          </w:p>
        </w:tc>
        <w:tc>
          <w:tcPr>
            <w:tcW w:w="992" w:type="dxa"/>
            <w:noWrap w:val="0"/>
            <w:vAlign w:val="center"/>
          </w:tcPr>
          <w:p w14:paraId="73D84464">
            <w:pPr>
              <w:pStyle w:val="12"/>
              <w:spacing w:line="480" w:lineRule="exact"/>
              <w:contextualSpacing/>
              <w:rPr>
                <w:rFonts w:hint="eastAsia" w:ascii="仿宋_GB2312" w:hAnsi="仿宋" w:eastAsia="仿宋_GB2312"/>
                <w:szCs w:val="24"/>
              </w:rPr>
            </w:pPr>
            <w:r>
              <w:rPr>
                <w:rFonts w:hint="eastAsia" w:ascii="仿宋_GB2312" w:hAnsi="仿宋" w:eastAsia="仿宋_GB2312"/>
                <w:szCs w:val="24"/>
              </w:rPr>
              <w:t>视觉检测组件</w:t>
            </w:r>
          </w:p>
        </w:tc>
        <w:tc>
          <w:tcPr>
            <w:tcW w:w="4315" w:type="dxa"/>
            <w:noWrap w:val="0"/>
            <w:vAlign w:val="center"/>
          </w:tcPr>
          <w:p w14:paraId="64892BCB">
            <w:pPr>
              <w:pStyle w:val="13"/>
              <w:spacing w:line="480" w:lineRule="exact"/>
              <w:ind w:firstLine="480" w:firstLineChars="200"/>
              <w:contextualSpacing/>
              <w:rPr>
                <w:rFonts w:hint="eastAsia" w:ascii="仿宋_GB2312" w:hAnsi="仿宋" w:eastAsia="仿宋_GB2312"/>
                <w:sz w:val="24"/>
                <w:szCs w:val="24"/>
              </w:rPr>
            </w:pPr>
            <w:r>
              <w:rPr>
                <w:rFonts w:hint="eastAsia" w:ascii="仿宋_GB2312" w:hAnsi="仿宋" w:eastAsia="仿宋_GB2312"/>
                <w:sz w:val="24"/>
                <w:szCs w:val="24"/>
              </w:rPr>
              <w:t>工业级OMRON智能视觉系统，可对芯片的颜色、外形、尺寸等信息进行提取，并通过工业以太网总线通信传输给工业机器人，摄像元件为全像素读出方式网线传输型CCD，彩色识别，有效像素1600×1200，帧速30fps，控制器场景数32，可存储40张图像。</w:t>
            </w:r>
          </w:p>
        </w:tc>
        <w:tc>
          <w:tcPr>
            <w:tcW w:w="708" w:type="dxa"/>
            <w:noWrap w:val="0"/>
            <w:vAlign w:val="center"/>
          </w:tcPr>
          <w:p w14:paraId="04B87A0B">
            <w:pPr>
              <w:pStyle w:val="12"/>
              <w:spacing w:line="480" w:lineRule="exact"/>
              <w:contextualSpacing/>
              <w:rPr>
                <w:rFonts w:hint="eastAsia" w:ascii="仿宋_GB2312" w:eastAsia="仿宋_GB2312"/>
              </w:rPr>
            </w:pPr>
            <w:r>
              <w:rPr>
                <w:rFonts w:hint="eastAsia" w:ascii="仿宋_GB2312" w:eastAsia="仿宋_GB2312"/>
                <w:lang w:val="en-US" w:eastAsia="zh-CN"/>
              </w:rPr>
              <w:t>1</w:t>
            </w:r>
            <w:r>
              <w:rPr>
                <w:rFonts w:hint="eastAsia" w:ascii="仿宋_GB2312" w:eastAsia="仿宋_GB2312"/>
              </w:rPr>
              <w:t>套</w:t>
            </w:r>
          </w:p>
        </w:tc>
        <w:tc>
          <w:tcPr>
            <w:tcW w:w="1701" w:type="dxa"/>
            <w:noWrap w:val="0"/>
            <w:vAlign w:val="center"/>
          </w:tcPr>
          <w:p w14:paraId="214E4CDA">
            <w:pPr>
              <w:pStyle w:val="13"/>
              <w:spacing w:line="480" w:lineRule="exact"/>
              <w:contextualSpacing/>
              <w:jc w:val="center"/>
              <w:rPr>
                <w:rFonts w:hint="eastAsia" w:ascii="仿宋_GB2312" w:eastAsia="仿宋_GB2312"/>
              </w:rPr>
            </w:pPr>
            <w:r>
              <w:rPr>
                <w:rFonts w:hint="eastAsia" w:ascii="仿宋_GB2312" w:hAnsi="宋体" w:eastAsia="仿宋_GB2312"/>
              </w:rPr>
              <w:t>控制器</w:t>
            </w:r>
            <w:r>
              <w:rPr>
                <w:rFonts w:hint="eastAsia" w:ascii="仿宋_GB2312" w:eastAsia="仿宋_GB2312"/>
              </w:rPr>
              <w:t>FH-L550</w:t>
            </w:r>
          </w:p>
          <w:p w14:paraId="773A9980">
            <w:pPr>
              <w:pStyle w:val="13"/>
              <w:spacing w:line="480" w:lineRule="exact"/>
              <w:contextualSpacing/>
              <w:jc w:val="center"/>
              <w:rPr>
                <w:rFonts w:hint="eastAsia" w:ascii="仿宋_GB2312" w:eastAsia="仿宋_GB2312"/>
              </w:rPr>
            </w:pPr>
            <w:r>
              <w:rPr>
                <w:rFonts w:hint="eastAsia" w:ascii="仿宋_GB2312" w:hAnsi="宋体" w:eastAsia="仿宋_GB2312"/>
              </w:rPr>
              <w:t>相机</w:t>
            </w:r>
            <w:r>
              <w:rPr>
                <w:rFonts w:hint="eastAsia" w:ascii="仿宋_GB2312" w:eastAsia="仿宋_GB2312"/>
              </w:rPr>
              <w:t>FZ-SC2M</w:t>
            </w:r>
          </w:p>
        </w:tc>
      </w:tr>
      <w:tr w14:paraId="7246F3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54" w:type="dxa"/>
            <w:noWrap w:val="0"/>
            <w:vAlign w:val="center"/>
          </w:tcPr>
          <w:p w14:paraId="5A733AA3">
            <w:pPr>
              <w:pStyle w:val="12"/>
              <w:spacing w:line="480" w:lineRule="exact"/>
              <w:contextualSpacing/>
              <w:rPr>
                <w:rFonts w:hint="eastAsia" w:ascii="仿宋_GB2312" w:hAnsi="仿宋" w:eastAsia="仿宋_GB2312"/>
                <w:szCs w:val="24"/>
              </w:rPr>
            </w:pPr>
            <w:r>
              <w:rPr>
                <w:rFonts w:hint="eastAsia" w:ascii="仿宋_GB2312" w:hAnsi="仿宋" w:eastAsia="仿宋_GB2312"/>
                <w:szCs w:val="24"/>
              </w:rPr>
              <w:t>8</w:t>
            </w:r>
          </w:p>
        </w:tc>
        <w:tc>
          <w:tcPr>
            <w:tcW w:w="992" w:type="dxa"/>
            <w:noWrap w:val="0"/>
            <w:vAlign w:val="center"/>
          </w:tcPr>
          <w:p w14:paraId="21A5898D">
            <w:pPr>
              <w:pStyle w:val="12"/>
              <w:spacing w:line="480" w:lineRule="exact"/>
              <w:contextualSpacing/>
              <w:rPr>
                <w:rFonts w:hint="eastAsia" w:ascii="仿宋_GB2312" w:hAnsi="仿宋" w:eastAsia="仿宋_GB2312"/>
                <w:szCs w:val="24"/>
              </w:rPr>
            </w:pPr>
            <w:r>
              <w:rPr>
                <w:rFonts w:hint="eastAsia" w:ascii="仿宋_GB2312" w:hAnsi="仿宋" w:eastAsia="仿宋_GB2312"/>
                <w:szCs w:val="24"/>
              </w:rPr>
              <w:t>总控</w:t>
            </w:r>
          </w:p>
          <w:p w14:paraId="1E1337CF">
            <w:pPr>
              <w:pStyle w:val="12"/>
              <w:spacing w:line="480" w:lineRule="exact"/>
              <w:contextualSpacing/>
              <w:rPr>
                <w:rFonts w:hint="eastAsia" w:ascii="仿宋_GB2312" w:hAnsi="仿宋" w:eastAsia="仿宋_GB2312"/>
                <w:szCs w:val="24"/>
              </w:rPr>
            </w:pPr>
            <w:r>
              <w:rPr>
                <w:rFonts w:hint="eastAsia" w:ascii="仿宋_GB2312" w:hAnsi="仿宋" w:eastAsia="仿宋_GB2312"/>
                <w:szCs w:val="24"/>
              </w:rPr>
              <w:t>系统</w:t>
            </w:r>
          </w:p>
        </w:tc>
        <w:tc>
          <w:tcPr>
            <w:tcW w:w="4315" w:type="dxa"/>
            <w:noWrap w:val="0"/>
            <w:vAlign w:val="center"/>
          </w:tcPr>
          <w:p w14:paraId="7998FCC2">
            <w:pPr>
              <w:pStyle w:val="13"/>
              <w:spacing w:line="480" w:lineRule="exact"/>
              <w:ind w:firstLine="480" w:firstLineChars="200"/>
              <w:contextualSpacing/>
              <w:rPr>
                <w:rFonts w:hint="eastAsia" w:ascii="仿宋_GB2312" w:hAnsi="仿宋" w:eastAsia="仿宋_GB2312"/>
                <w:sz w:val="24"/>
                <w:szCs w:val="24"/>
              </w:rPr>
            </w:pPr>
            <w:r>
              <w:rPr>
                <w:rFonts w:hint="eastAsia" w:ascii="仿宋_GB2312" w:hAnsi="仿宋" w:eastAsia="仿宋_GB2312"/>
                <w:sz w:val="24"/>
                <w:szCs w:val="24"/>
              </w:rPr>
              <w:t>采用西门子S7-200SMART系列PLC实现集成控制，包含以太网接口，可进行I/O模块化扩展，提供RS485接口，支持信号板扩展，支持MicroSD卡，共包含不少于数字量36点输入/32点输出。</w:t>
            </w:r>
          </w:p>
        </w:tc>
        <w:tc>
          <w:tcPr>
            <w:tcW w:w="708" w:type="dxa"/>
            <w:noWrap w:val="0"/>
            <w:vAlign w:val="center"/>
          </w:tcPr>
          <w:p w14:paraId="0B33C9AF">
            <w:pPr>
              <w:pStyle w:val="12"/>
              <w:spacing w:line="480" w:lineRule="exact"/>
              <w:ind w:firstLine="600"/>
              <w:contextualSpacing/>
              <w:rPr>
                <w:rFonts w:hint="eastAsia" w:ascii="仿宋_GB2312" w:eastAsia="仿宋_GB2312"/>
              </w:rPr>
            </w:pPr>
            <w:r>
              <w:rPr>
                <w:rFonts w:hint="eastAsia" w:ascii="仿宋_GB2312" w:eastAsia="仿宋_GB2312"/>
              </w:rPr>
              <w:t>1</w:t>
            </w:r>
            <w:r>
              <w:rPr>
                <w:rFonts w:hint="eastAsia" w:ascii="仿宋_GB2312" w:eastAsia="仿宋_GB2312"/>
                <w:lang w:val="en-US" w:eastAsia="zh-CN"/>
              </w:rPr>
              <w:t>1</w:t>
            </w:r>
            <w:r>
              <w:rPr>
                <w:rFonts w:hint="eastAsia" w:ascii="仿宋_GB2312" w:eastAsia="仿宋_GB2312"/>
              </w:rPr>
              <w:t>套</w:t>
            </w:r>
          </w:p>
        </w:tc>
        <w:tc>
          <w:tcPr>
            <w:tcW w:w="1701" w:type="dxa"/>
            <w:noWrap w:val="0"/>
            <w:vAlign w:val="center"/>
          </w:tcPr>
          <w:p w14:paraId="4E8EEDF9">
            <w:pPr>
              <w:pStyle w:val="13"/>
              <w:spacing w:line="480" w:lineRule="exact"/>
              <w:contextualSpacing/>
              <w:jc w:val="center"/>
              <w:rPr>
                <w:rFonts w:hint="eastAsia" w:ascii="仿宋_GB2312" w:eastAsia="仿宋_GB2312"/>
              </w:rPr>
            </w:pPr>
            <w:r>
              <w:rPr>
                <w:rFonts w:hint="eastAsia" w:ascii="仿宋_GB2312" w:eastAsia="仿宋_GB2312"/>
              </w:rPr>
              <w:t>S7-200SMARTSR60</w:t>
            </w:r>
          </w:p>
          <w:p w14:paraId="017D76C6">
            <w:pPr>
              <w:pStyle w:val="13"/>
              <w:spacing w:line="480" w:lineRule="exact"/>
              <w:contextualSpacing/>
              <w:jc w:val="center"/>
              <w:rPr>
                <w:rFonts w:hint="eastAsia" w:ascii="仿宋_GB2312" w:eastAsia="仿宋_GB2312"/>
              </w:rPr>
            </w:pPr>
            <w:r>
              <w:rPr>
                <w:rFonts w:hint="eastAsia" w:ascii="仿宋_GB2312" w:eastAsia="仿宋_GB2312"/>
              </w:rPr>
              <w:t>EMDR08</w:t>
            </w:r>
          </w:p>
        </w:tc>
      </w:tr>
      <w:tr w14:paraId="31F18A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54" w:type="dxa"/>
            <w:noWrap w:val="0"/>
            <w:vAlign w:val="center"/>
          </w:tcPr>
          <w:p w14:paraId="721B5F7E">
            <w:pPr>
              <w:pStyle w:val="12"/>
              <w:spacing w:line="480" w:lineRule="exact"/>
              <w:contextualSpacing/>
              <w:rPr>
                <w:rFonts w:hint="eastAsia" w:ascii="仿宋_GB2312" w:hAnsi="仿宋" w:eastAsia="仿宋_GB2312"/>
                <w:szCs w:val="24"/>
              </w:rPr>
            </w:pPr>
            <w:r>
              <w:rPr>
                <w:rFonts w:hint="eastAsia" w:ascii="仿宋_GB2312" w:hAnsi="仿宋" w:eastAsia="仿宋_GB2312"/>
                <w:szCs w:val="24"/>
              </w:rPr>
              <w:t>9</w:t>
            </w:r>
          </w:p>
        </w:tc>
        <w:tc>
          <w:tcPr>
            <w:tcW w:w="992" w:type="dxa"/>
            <w:noWrap w:val="0"/>
            <w:vAlign w:val="center"/>
          </w:tcPr>
          <w:p w14:paraId="30445237">
            <w:pPr>
              <w:pStyle w:val="12"/>
              <w:spacing w:line="480" w:lineRule="exact"/>
              <w:contextualSpacing/>
              <w:rPr>
                <w:rFonts w:hint="eastAsia" w:ascii="仿宋_GB2312" w:hAnsi="仿宋" w:eastAsia="仿宋_GB2312"/>
                <w:szCs w:val="24"/>
              </w:rPr>
            </w:pPr>
            <w:r>
              <w:rPr>
                <w:rFonts w:hint="eastAsia" w:ascii="仿宋_GB2312" w:hAnsi="仿宋" w:eastAsia="仿宋_GB2312"/>
                <w:szCs w:val="24"/>
              </w:rPr>
              <w:t>离线编程软件</w:t>
            </w:r>
          </w:p>
        </w:tc>
        <w:tc>
          <w:tcPr>
            <w:tcW w:w="4315" w:type="dxa"/>
            <w:noWrap w:val="0"/>
            <w:vAlign w:val="center"/>
          </w:tcPr>
          <w:p w14:paraId="2D284366">
            <w:pPr>
              <w:pStyle w:val="13"/>
              <w:spacing w:line="480" w:lineRule="exact"/>
              <w:ind w:firstLine="480" w:firstLineChars="200"/>
              <w:contextualSpacing/>
              <w:rPr>
                <w:rFonts w:hint="eastAsia" w:ascii="仿宋_GB2312" w:hAnsi="仿宋" w:eastAsia="仿宋_GB2312"/>
                <w:sz w:val="24"/>
                <w:szCs w:val="24"/>
              </w:rPr>
            </w:pPr>
            <w:r>
              <w:rPr>
                <w:rFonts w:hint="eastAsia" w:ascii="仿宋_GB2312" w:hAnsi="仿宋" w:eastAsia="仿宋_GB2312"/>
                <w:sz w:val="24"/>
                <w:szCs w:val="24"/>
              </w:rPr>
              <w:t>可实现多个品牌多个型号的工业机器人进行模型导入、轨迹规划、运动仿真和控制代码输出，实现离线编程。</w:t>
            </w:r>
          </w:p>
          <w:p w14:paraId="703C330A">
            <w:pPr>
              <w:pStyle w:val="13"/>
              <w:spacing w:line="480" w:lineRule="exact"/>
              <w:ind w:firstLine="480" w:firstLineChars="200"/>
              <w:contextualSpacing/>
              <w:rPr>
                <w:rFonts w:hint="eastAsia" w:ascii="仿宋_GB2312" w:hAnsi="仿宋" w:eastAsia="仿宋_GB2312"/>
                <w:sz w:val="24"/>
                <w:szCs w:val="24"/>
              </w:rPr>
            </w:pPr>
            <w:r>
              <w:rPr>
                <w:rFonts w:hint="eastAsia" w:ascii="仿宋_GB2312" w:hAnsi="仿宋" w:eastAsia="仿宋_GB2312"/>
                <w:sz w:val="24"/>
                <w:szCs w:val="24"/>
              </w:rPr>
              <w:t>采用通用3D技术，与CAD教学衔接，支持prt(UG</w:t>
            </w:r>
            <w:r>
              <w:rPr>
                <w:rFonts w:hint="eastAsia" w:ascii="仿宋_GB2312" w:hAnsi="仿宋" w:eastAsia="仿宋_GB2312"/>
                <w:sz w:val="24"/>
                <w:szCs w:val="24"/>
                <w:lang w:eastAsia="zh-CN"/>
              </w:rPr>
              <w:t>）</w:t>
            </w:r>
            <w:r>
              <w:rPr>
                <w:rFonts w:hint="eastAsia" w:ascii="仿宋_GB2312" w:hAnsi="仿宋" w:eastAsia="仿宋_GB2312"/>
                <w:sz w:val="24"/>
                <w:szCs w:val="24"/>
              </w:rPr>
              <w:t>、prt(ProE</w:t>
            </w:r>
            <w:r>
              <w:rPr>
                <w:rFonts w:hint="eastAsia" w:ascii="仿宋_GB2312" w:hAnsi="仿宋" w:eastAsia="仿宋_GB2312"/>
                <w:sz w:val="24"/>
                <w:szCs w:val="24"/>
                <w:lang w:eastAsia="zh-CN"/>
              </w:rPr>
              <w:t>）</w:t>
            </w:r>
            <w:r>
              <w:rPr>
                <w:rFonts w:hint="eastAsia" w:ascii="仿宋_GB2312" w:hAnsi="仿宋" w:eastAsia="仿宋_GB2312"/>
                <w:sz w:val="24"/>
                <w:szCs w:val="24"/>
              </w:rPr>
              <w:t>、CATPart(CATIA</w:t>
            </w:r>
            <w:r>
              <w:rPr>
                <w:rFonts w:hint="eastAsia" w:ascii="仿宋_GB2312" w:hAnsi="仿宋" w:eastAsia="仿宋_GB2312"/>
                <w:sz w:val="24"/>
                <w:szCs w:val="24"/>
                <w:lang w:eastAsia="zh-CN"/>
              </w:rPr>
              <w:t>）</w:t>
            </w:r>
            <w:r>
              <w:rPr>
                <w:rFonts w:hint="eastAsia" w:ascii="仿宋_GB2312" w:hAnsi="仿宋" w:eastAsia="仿宋_GB2312"/>
                <w:sz w:val="24"/>
                <w:szCs w:val="24"/>
              </w:rPr>
              <w:t>、sldpart(Solidworks</w:t>
            </w:r>
            <w:r>
              <w:rPr>
                <w:rFonts w:hint="eastAsia" w:ascii="仿宋_GB2312" w:hAnsi="仿宋" w:eastAsia="仿宋_GB2312"/>
                <w:sz w:val="24"/>
                <w:szCs w:val="24"/>
                <w:lang w:eastAsia="zh-CN"/>
              </w:rPr>
              <w:t>）</w:t>
            </w:r>
            <w:r>
              <w:rPr>
                <w:rFonts w:hint="eastAsia" w:ascii="仿宋_GB2312" w:hAnsi="仿宋" w:eastAsia="仿宋_GB2312"/>
                <w:sz w:val="24"/>
                <w:szCs w:val="24"/>
              </w:rPr>
              <w:t>、ics(3D实体设计</w:t>
            </w:r>
            <w:r>
              <w:rPr>
                <w:rFonts w:hint="eastAsia" w:ascii="仿宋_GB2312" w:hAnsi="仿宋" w:eastAsia="仿宋_GB2312"/>
                <w:sz w:val="24"/>
                <w:szCs w:val="24"/>
                <w:lang w:eastAsia="zh-CN"/>
              </w:rPr>
              <w:t>）</w:t>
            </w:r>
            <w:r>
              <w:rPr>
                <w:rFonts w:hint="eastAsia" w:ascii="仿宋_GB2312" w:hAnsi="仿宋" w:eastAsia="仿宋_GB2312"/>
                <w:sz w:val="24"/>
                <w:szCs w:val="24"/>
              </w:rPr>
              <w:t>等3DCAD系统的模型文件导入，可通过三维球功能对模型进行平移、旋转操作。</w:t>
            </w:r>
          </w:p>
          <w:p w14:paraId="59CCE119">
            <w:pPr>
              <w:pStyle w:val="13"/>
              <w:spacing w:line="480" w:lineRule="exact"/>
              <w:ind w:firstLine="480" w:firstLineChars="200"/>
              <w:contextualSpacing/>
              <w:rPr>
                <w:rFonts w:hint="eastAsia" w:ascii="仿宋_GB2312" w:hAnsi="仿宋" w:eastAsia="仿宋_GB2312"/>
                <w:sz w:val="24"/>
                <w:szCs w:val="24"/>
              </w:rPr>
            </w:pPr>
            <w:r>
              <w:rPr>
                <w:rFonts w:hint="eastAsia" w:ascii="仿宋_GB2312" w:hAnsi="仿宋" w:eastAsia="仿宋_GB2312"/>
                <w:sz w:val="24"/>
                <w:szCs w:val="24"/>
              </w:rPr>
              <w:t>轨迹与CAD模型特征关联，可根据CAD模型的改变自动更新轨迹数据，即CAD模型尺寸变大，轨迹可自动更新无需编辑操作。</w:t>
            </w:r>
          </w:p>
          <w:p w14:paraId="090C94B2">
            <w:pPr>
              <w:pStyle w:val="13"/>
              <w:spacing w:line="480" w:lineRule="exact"/>
              <w:ind w:firstLine="480" w:firstLineChars="200"/>
              <w:contextualSpacing/>
              <w:rPr>
                <w:rFonts w:hint="eastAsia" w:ascii="仿宋_GB2312" w:hAnsi="仿宋" w:eastAsia="仿宋_GB2312"/>
                <w:sz w:val="24"/>
                <w:szCs w:val="24"/>
              </w:rPr>
            </w:pPr>
            <w:r>
              <w:rPr>
                <w:rFonts w:hint="eastAsia" w:ascii="仿宋_GB2312" w:hAnsi="仿宋" w:eastAsia="仿宋_GB2312"/>
                <w:sz w:val="24"/>
                <w:szCs w:val="24"/>
              </w:rPr>
              <w:t>可实现将编程结果仿真运行过程并输出3D仿真，上传云端自动生成二维码，通过浏览器可直接播放，并可以自由切换观看视角和放大缩小。</w:t>
            </w:r>
          </w:p>
        </w:tc>
        <w:tc>
          <w:tcPr>
            <w:tcW w:w="708" w:type="dxa"/>
            <w:noWrap w:val="0"/>
            <w:vAlign w:val="center"/>
          </w:tcPr>
          <w:p w14:paraId="2B239EB1">
            <w:pPr>
              <w:pStyle w:val="12"/>
              <w:spacing w:line="480" w:lineRule="exact"/>
              <w:ind w:firstLine="600"/>
              <w:contextualSpacing/>
              <w:rPr>
                <w:rFonts w:hint="eastAsia" w:ascii="仿宋_GB2312" w:eastAsia="仿宋_GB2312"/>
              </w:rPr>
            </w:pPr>
            <w:r>
              <w:rPr>
                <w:rFonts w:hint="eastAsia" w:ascii="仿宋_GB2312" w:eastAsia="仿宋_GB2312"/>
              </w:rPr>
              <w:t>1</w:t>
            </w:r>
            <w:r>
              <w:rPr>
                <w:rFonts w:hint="eastAsia" w:ascii="仿宋_GB2312" w:eastAsia="仿宋_GB2312"/>
                <w:lang w:val="en-US" w:eastAsia="zh-CN"/>
              </w:rPr>
              <w:t>1</w:t>
            </w:r>
            <w:r>
              <w:rPr>
                <w:rFonts w:hint="eastAsia" w:ascii="仿宋_GB2312" w:eastAsia="仿宋_GB2312"/>
              </w:rPr>
              <w:t>套</w:t>
            </w:r>
          </w:p>
        </w:tc>
        <w:tc>
          <w:tcPr>
            <w:tcW w:w="1701" w:type="dxa"/>
            <w:noWrap w:val="0"/>
            <w:vAlign w:val="center"/>
          </w:tcPr>
          <w:p w14:paraId="1C930280">
            <w:pPr>
              <w:pStyle w:val="13"/>
              <w:spacing w:line="480" w:lineRule="exact"/>
              <w:contextualSpacing/>
              <w:jc w:val="center"/>
              <w:rPr>
                <w:rFonts w:hint="eastAsia" w:ascii="仿宋_GB2312" w:eastAsia="仿宋_GB2312"/>
              </w:rPr>
            </w:pPr>
            <w:r>
              <w:rPr>
                <w:rFonts w:hint="eastAsia" w:ascii="仿宋_GB2312" w:eastAsia="仿宋_GB2312"/>
                <w:lang w:val="en-US" w:eastAsia="zh-CN"/>
              </w:rPr>
              <w:t>Pqa</w:t>
            </w:r>
            <w:r>
              <w:rPr>
                <w:rFonts w:hint="eastAsia" w:ascii="仿宋_GB2312" w:eastAsia="仿宋_GB2312"/>
              </w:rPr>
              <w:t>rt</w:t>
            </w:r>
          </w:p>
          <w:p w14:paraId="27534DEC">
            <w:pPr>
              <w:pStyle w:val="13"/>
              <w:spacing w:line="480" w:lineRule="exact"/>
              <w:contextualSpacing/>
              <w:jc w:val="center"/>
              <w:rPr>
                <w:rFonts w:hint="eastAsia" w:ascii="仿宋_GB2312" w:eastAsia="仿宋_GB2312"/>
              </w:rPr>
            </w:pPr>
          </w:p>
        </w:tc>
      </w:tr>
    </w:tbl>
    <w:p w14:paraId="5A4CA492">
      <w:pPr>
        <w:pStyle w:val="4"/>
        <w:keepNext w:val="0"/>
        <w:keepLines w:val="0"/>
        <w:pageBreakBefore w:val="0"/>
        <w:widowControl w:val="0"/>
        <w:kinsoku/>
        <w:wordWrap/>
        <w:overflowPunct/>
        <w:topLinePunct w:val="0"/>
        <w:autoSpaceDE/>
        <w:autoSpaceDN/>
        <w:bidi w:val="0"/>
        <w:adjustRightInd/>
        <w:snapToGrid/>
        <w:spacing w:before="80" w:line="520" w:lineRule="exact"/>
        <w:ind w:right="13" w:firstLine="551"/>
        <w:jc w:val="both"/>
        <w:textAlignment w:val="auto"/>
        <w:rPr>
          <w:rFonts w:hint="eastAsia" w:ascii="仿宋" w:hAnsi="仿宋" w:eastAsia="仿宋_GB2312" w:cs="Times New Roman"/>
          <w:kern w:val="2"/>
          <w:sz w:val="28"/>
          <w:szCs w:val="21"/>
          <w:lang w:val="zh-CN" w:eastAsia="zh-CN" w:bidi="ar-SA"/>
        </w:rPr>
      </w:pPr>
      <w:bookmarkStart w:id="15" w:name="_Toc476072289"/>
      <w:bookmarkStart w:id="16" w:name="_Toc476238519"/>
      <w:r>
        <w:rPr>
          <w:rFonts w:hint="eastAsia" w:ascii="仿宋" w:hAnsi="仿宋" w:eastAsia="仿宋_GB2312" w:cs="Times New Roman"/>
          <w:kern w:val="2"/>
          <w:sz w:val="28"/>
          <w:szCs w:val="21"/>
          <w:lang w:val="zh-CN" w:eastAsia="zh-CN" w:bidi="ar-SA"/>
        </w:rPr>
        <w:t>2.工装器具技术规格</w:t>
      </w:r>
    </w:p>
    <w:p w14:paraId="5CAB0046">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lang w:val="zh-CN" w:eastAsia="zh-CN"/>
        </w:rPr>
      </w:pPr>
      <w:r>
        <w:rPr>
          <w:rFonts w:hint="eastAsia"/>
          <w:lang w:val="zh-CN" w:eastAsia="zh-CN"/>
        </w:rPr>
        <w:t>配置万用表1个、内六角扳手1套、螺钉旋具1套、双头钟表旋具1套、公制卷尺1、水口钳1把、尖嘴钳1把、斜口钳1把。（</w:t>
      </w:r>
      <w:r>
        <w:rPr>
          <w:rFonts w:hint="eastAsia"/>
          <w:lang w:val="en-US" w:eastAsia="zh-CN"/>
        </w:rPr>
        <w:t>参赛选手自备</w:t>
      </w:r>
      <w:r>
        <w:rPr>
          <w:rFonts w:hint="eastAsia"/>
          <w:lang w:val="zh-CN" w:eastAsia="zh-CN"/>
        </w:rPr>
        <w:t>）</w:t>
      </w:r>
    </w:p>
    <w:p w14:paraId="0E11C3E4">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lang w:val="zh-CN" w:eastAsia="zh-CN"/>
        </w:rPr>
      </w:pPr>
      <w:r>
        <w:rPr>
          <w:rFonts w:hint="eastAsia"/>
          <w:lang w:val="zh-CN" w:eastAsia="zh-CN"/>
        </w:rPr>
        <w:t>3.软件版本信息</w:t>
      </w:r>
    </w:p>
    <w:p w14:paraId="048320AC">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lang w:val="zh-CN" w:eastAsia="zh-CN"/>
        </w:rPr>
      </w:pPr>
      <w:r>
        <w:rPr>
          <w:rFonts w:hint="eastAsia"/>
          <w:lang w:val="zh-CN" w:eastAsia="zh-CN"/>
        </w:rPr>
        <w:t>1.PLC编程软件：STEP7－MicroWINSMARTV2.7</w:t>
      </w:r>
    </w:p>
    <w:p w14:paraId="3EC52B4D">
      <w:pPr>
        <w:keepNext w:val="0"/>
        <w:keepLines w:val="0"/>
        <w:pageBreakBefore w:val="0"/>
        <w:widowControl w:val="0"/>
        <w:kinsoku/>
        <w:wordWrap/>
        <w:overflowPunct/>
        <w:topLinePunct w:val="0"/>
        <w:autoSpaceDE/>
        <w:autoSpaceDN/>
        <w:bidi w:val="0"/>
        <w:adjustRightInd/>
        <w:snapToGrid/>
        <w:spacing w:line="520" w:lineRule="exact"/>
        <w:textAlignment w:val="auto"/>
        <w:rPr>
          <w:rFonts w:hint="default"/>
          <w:lang w:val="en-US" w:eastAsia="zh-CN"/>
        </w:rPr>
      </w:pPr>
      <w:r>
        <w:rPr>
          <w:rFonts w:hint="eastAsia"/>
          <w:lang w:val="zh-CN" w:eastAsia="zh-CN"/>
        </w:rPr>
        <w:t>2.HMI编程软件：EBproV6.</w:t>
      </w:r>
      <w:r>
        <w:rPr>
          <w:rFonts w:hint="eastAsia"/>
          <w:lang w:val="en-US" w:eastAsia="zh-CN"/>
        </w:rPr>
        <w:t>10</w:t>
      </w:r>
    </w:p>
    <w:p w14:paraId="1DA326DB">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lang w:val="zh-CN" w:eastAsia="zh-CN"/>
        </w:rPr>
      </w:pPr>
      <w:r>
        <w:rPr>
          <w:rFonts w:hint="eastAsia"/>
          <w:lang w:val="zh-CN" w:eastAsia="zh-CN"/>
        </w:rPr>
        <w:t>3.离线编程仿真软件：PQArt</w:t>
      </w:r>
    </w:p>
    <w:p w14:paraId="5E72D18F">
      <w:pPr>
        <w:spacing w:line="480" w:lineRule="exact"/>
        <w:ind w:firstLine="600" w:firstLineChars="200"/>
        <w:contextualSpacing/>
        <w:jc w:val="left"/>
        <w:rPr>
          <w:rFonts w:hint="eastAsia" w:ascii="黑体" w:hAnsi="黑体" w:eastAsia="黑体" w:cs="黑体"/>
          <w:b w:val="0"/>
          <w:bCs/>
          <w:sz w:val="30"/>
          <w:szCs w:val="30"/>
          <w:lang w:eastAsia="zh-CN"/>
        </w:rPr>
      </w:pPr>
      <w:r>
        <w:rPr>
          <w:rFonts w:hint="eastAsia" w:ascii="黑体" w:hAnsi="黑体" w:eastAsia="黑体" w:cs="黑体"/>
          <w:b w:val="0"/>
          <w:bCs/>
          <w:sz w:val="30"/>
          <w:szCs w:val="30"/>
          <w:lang w:val="en-US" w:eastAsia="zh-CN"/>
        </w:rPr>
        <w:t>八</w:t>
      </w:r>
      <w:r>
        <w:rPr>
          <w:rFonts w:hint="eastAsia" w:ascii="黑体" w:hAnsi="黑体" w:eastAsia="黑体" w:cs="黑体"/>
          <w:b w:val="0"/>
          <w:bCs/>
          <w:sz w:val="30"/>
          <w:szCs w:val="30"/>
          <w:lang w:eastAsia="zh-CN"/>
        </w:rPr>
        <w:t>、评分标准、评分方法、评分细则</w:t>
      </w:r>
      <w:bookmarkEnd w:id="15"/>
      <w:bookmarkEnd w:id="16"/>
    </w:p>
    <w:p w14:paraId="780F9E91">
      <w:pPr>
        <w:keepNext w:val="0"/>
        <w:keepLines w:val="0"/>
        <w:pageBreakBefore w:val="0"/>
        <w:widowControl w:val="0"/>
        <w:kinsoku/>
        <w:wordWrap/>
        <w:overflowPunct/>
        <w:topLinePunct w:val="0"/>
        <w:autoSpaceDE/>
        <w:autoSpaceDN/>
        <w:bidi w:val="0"/>
        <w:adjustRightInd/>
        <w:snapToGrid/>
        <w:spacing w:line="520" w:lineRule="exact"/>
        <w:ind w:firstLine="600"/>
        <w:contextualSpacing/>
        <w:textAlignment w:val="auto"/>
        <w:rPr>
          <w:rFonts w:hint="eastAsia" w:ascii="楷体" w:hAnsi="楷体" w:eastAsia="楷体" w:cs="楷体"/>
          <w:kern w:val="0"/>
          <w:sz w:val="30"/>
          <w:szCs w:val="30"/>
        </w:rPr>
      </w:pPr>
      <w:r>
        <w:rPr>
          <w:rFonts w:hint="eastAsia" w:ascii="楷体" w:hAnsi="楷体" w:eastAsia="楷体" w:cs="楷体"/>
          <w:kern w:val="0"/>
          <w:sz w:val="30"/>
          <w:szCs w:val="30"/>
        </w:rPr>
        <w:t>（一）评分标准</w:t>
      </w:r>
    </w:p>
    <w:p w14:paraId="33AF72A3">
      <w:pPr>
        <w:spacing w:line="480" w:lineRule="exact"/>
        <w:ind w:firstLine="600" w:firstLineChars="200"/>
        <w:contextualSpacing/>
        <w:jc w:val="left"/>
        <w:rPr>
          <w:rFonts w:hint="eastAsia" w:ascii="仿宋_GB2312" w:hAnsi="微软雅黑" w:eastAsia="仿宋_GB2312" w:cs="宋体"/>
          <w:sz w:val="30"/>
          <w:szCs w:val="30"/>
        </w:rPr>
      </w:pPr>
      <w:r>
        <w:rPr>
          <w:rFonts w:hint="eastAsia" w:ascii="仿宋_GB2312" w:hAnsi="微软雅黑" w:eastAsia="仿宋_GB2312" w:cs="宋体"/>
          <w:sz w:val="30"/>
          <w:szCs w:val="30"/>
        </w:rPr>
        <w:t>本竞赛采用满分100分，竞赛考核比例和标准见下表：</w:t>
      </w:r>
    </w:p>
    <w:tbl>
      <w:tblPr>
        <w:tblStyle w:val="9"/>
        <w:tblpPr w:leftFromText="180" w:rightFromText="180" w:vertAnchor="text" w:horzAnchor="margin" w:tblpXSpec="center" w:tblpY="14"/>
        <w:tblW w:w="80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6"/>
        <w:gridCol w:w="1517"/>
        <w:gridCol w:w="3550"/>
        <w:gridCol w:w="986"/>
        <w:gridCol w:w="1276"/>
      </w:tblGrid>
      <w:tr w14:paraId="57EDDD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trPr>
        <w:tc>
          <w:tcPr>
            <w:tcW w:w="746" w:type="dxa"/>
            <w:noWrap w:val="0"/>
            <w:vAlign w:val="center"/>
          </w:tcPr>
          <w:p w14:paraId="568AF47C">
            <w:pPr>
              <w:pStyle w:val="12"/>
              <w:spacing w:line="480" w:lineRule="exact"/>
              <w:contextualSpacing/>
              <w:rPr>
                <w:rFonts w:hint="eastAsia" w:ascii="仿宋_GB2312" w:eastAsia="仿宋_GB2312"/>
                <w:b/>
              </w:rPr>
            </w:pPr>
            <w:r>
              <w:rPr>
                <w:rFonts w:hint="eastAsia" w:ascii="仿宋_GB2312" w:eastAsia="仿宋_GB2312"/>
                <w:b/>
              </w:rPr>
              <w:t>序号</w:t>
            </w:r>
          </w:p>
        </w:tc>
        <w:tc>
          <w:tcPr>
            <w:tcW w:w="1517" w:type="dxa"/>
            <w:noWrap w:val="0"/>
            <w:vAlign w:val="center"/>
          </w:tcPr>
          <w:p w14:paraId="588D5A3B">
            <w:pPr>
              <w:pStyle w:val="12"/>
              <w:spacing w:line="480" w:lineRule="exact"/>
              <w:contextualSpacing/>
              <w:rPr>
                <w:rFonts w:hint="eastAsia" w:ascii="仿宋_GB2312" w:eastAsia="仿宋_GB2312"/>
                <w:b/>
              </w:rPr>
            </w:pPr>
            <w:r>
              <w:rPr>
                <w:rFonts w:hint="eastAsia" w:ascii="仿宋_GB2312" w:eastAsia="仿宋_GB2312"/>
                <w:b/>
              </w:rPr>
              <w:t>项目</w:t>
            </w:r>
          </w:p>
        </w:tc>
        <w:tc>
          <w:tcPr>
            <w:tcW w:w="3550" w:type="dxa"/>
            <w:noWrap w:val="0"/>
            <w:vAlign w:val="center"/>
          </w:tcPr>
          <w:p w14:paraId="37F07E51">
            <w:pPr>
              <w:pStyle w:val="12"/>
              <w:spacing w:line="480" w:lineRule="exact"/>
              <w:contextualSpacing/>
              <w:rPr>
                <w:rFonts w:hint="eastAsia" w:ascii="仿宋_GB2312" w:eastAsia="仿宋_GB2312"/>
                <w:b/>
              </w:rPr>
            </w:pPr>
            <w:r>
              <w:rPr>
                <w:rFonts w:hint="eastAsia" w:ascii="仿宋_GB2312" w:eastAsia="仿宋_GB2312"/>
                <w:b/>
              </w:rPr>
              <w:t>考核内容</w:t>
            </w:r>
          </w:p>
        </w:tc>
        <w:tc>
          <w:tcPr>
            <w:tcW w:w="986" w:type="dxa"/>
            <w:noWrap w:val="0"/>
            <w:vAlign w:val="center"/>
          </w:tcPr>
          <w:p w14:paraId="75380059">
            <w:pPr>
              <w:pStyle w:val="12"/>
              <w:spacing w:line="480" w:lineRule="exact"/>
              <w:contextualSpacing/>
              <w:rPr>
                <w:rFonts w:hint="eastAsia" w:ascii="仿宋_GB2312" w:eastAsia="仿宋_GB2312"/>
                <w:b/>
              </w:rPr>
            </w:pPr>
            <w:r>
              <w:rPr>
                <w:rFonts w:hint="eastAsia" w:ascii="仿宋_GB2312" w:eastAsia="仿宋_GB2312"/>
                <w:b/>
              </w:rPr>
              <w:t>权重</w:t>
            </w:r>
          </w:p>
        </w:tc>
        <w:tc>
          <w:tcPr>
            <w:tcW w:w="1276" w:type="dxa"/>
            <w:noWrap w:val="0"/>
            <w:vAlign w:val="center"/>
          </w:tcPr>
          <w:p w14:paraId="141683C2">
            <w:pPr>
              <w:pStyle w:val="12"/>
              <w:spacing w:line="480" w:lineRule="exact"/>
              <w:contextualSpacing/>
              <w:rPr>
                <w:rFonts w:hint="eastAsia" w:ascii="仿宋_GB2312" w:eastAsia="仿宋_GB2312"/>
                <w:b/>
              </w:rPr>
            </w:pPr>
            <w:r>
              <w:rPr>
                <w:rFonts w:hint="eastAsia" w:ascii="仿宋_GB2312" w:eastAsia="仿宋_GB2312"/>
                <w:b/>
              </w:rPr>
              <w:t>评判方式</w:t>
            </w:r>
          </w:p>
        </w:tc>
      </w:tr>
      <w:tr w14:paraId="4AC0F7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rPr>
        <w:tc>
          <w:tcPr>
            <w:tcW w:w="746" w:type="dxa"/>
            <w:noWrap w:val="0"/>
            <w:vAlign w:val="center"/>
          </w:tcPr>
          <w:p w14:paraId="32B7D821">
            <w:pPr>
              <w:pStyle w:val="12"/>
              <w:spacing w:line="480" w:lineRule="exact"/>
              <w:contextualSpacing/>
              <w:rPr>
                <w:rFonts w:hint="eastAsia" w:ascii="仿宋_GB2312" w:hAnsi="仿宋" w:eastAsia="仿宋_GB2312"/>
                <w:szCs w:val="24"/>
              </w:rPr>
            </w:pPr>
            <w:r>
              <w:rPr>
                <w:rFonts w:hint="eastAsia" w:ascii="仿宋_GB2312" w:hAnsi="仿宋" w:eastAsia="仿宋_GB2312"/>
                <w:szCs w:val="24"/>
              </w:rPr>
              <w:t>1</w:t>
            </w:r>
          </w:p>
        </w:tc>
        <w:tc>
          <w:tcPr>
            <w:tcW w:w="1517" w:type="dxa"/>
            <w:noWrap w:val="0"/>
            <w:vAlign w:val="center"/>
          </w:tcPr>
          <w:p w14:paraId="71A31183">
            <w:pPr>
              <w:pStyle w:val="12"/>
              <w:spacing w:line="480" w:lineRule="exact"/>
              <w:contextualSpacing/>
              <w:rPr>
                <w:rFonts w:hint="eastAsia" w:ascii="仿宋_GB2312" w:hAnsi="仿宋" w:eastAsia="仿宋_GB2312"/>
                <w:szCs w:val="24"/>
              </w:rPr>
            </w:pPr>
            <w:r>
              <w:rPr>
                <w:rFonts w:hint="eastAsia" w:ascii="仿宋_GB2312" w:hAnsi="仿宋" w:eastAsia="仿宋_GB2312"/>
                <w:szCs w:val="24"/>
              </w:rPr>
              <w:t>机械及电气安装调试</w:t>
            </w:r>
          </w:p>
        </w:tc>
        <w:tc>
          <w:tcPr>
            <w:tcW w:w="3550" w:type="dxa"/>
            <w:noWrap w:val="0"/>
            <w:vAlign w:val="center"/>
          </w:tcPr>
          <w:p w14:paraId="553E7B45">
            <w:pPr>
              <w:pStyle w:val="12"/>
              <w:spacing w:line="480" w:lineRule="exact"/>
              <w:contextualSpacing/>
              <w:jc w:val="left"/>
              <w:rPr>
                <w:rFonts w:hint="eastAsia" w:ascii="仿宋_GB2312" w:hAnsi="仿宋" w:eastAsia="仿宋_GB2312"/>
                <w:szCs w:val="24"/>
              </w:rPr>
            </w:pPr>
            <w:r>
              <w:rPr>
                <w:rFonts w:hint="eastAsia" w:ascii="仿宋_GB2312" w:hAnsi="仿宋" w:eastAsia="仿宋_GB2312"/>
                <w:szCs w:val="24"/>
              </w:rPr>
              <w:t>工业机器人、机器人工具快换系统及不同工艺工具、异形芯片原料单元和装配单元等设备的机械及电气安装调试工作</w:t>
            </w:r>
          </w:p>
        </w:tc>
        <w:tc>
          <w:tcPr>
            <w:tcW w:w="986" w:type="dxa"/>
            <w:noWrap w:val="0"/>
            <w:vAlign w:val="center"/>
          </w:tcPr>
          <w:p w14:paraId="196D1843">
            <w:pPr>
              <w:pStyle w:val="12"/>
              <w:spacing w:line="480" w:lineRule="exact"/>
              <w:contextualSpacing/>
              <w:rPr>
                <w:rFonts w:hint="eastAsia" w:ascii="仿宋_GB2312" w:hAnsi="仿宋" w:eastAsia="仿宋_GB2312"/>
                <w:szCs w:val="24"/>
              </w:rPr>
            </w:pPr>
            <w:r>
              <w:rPr>
                <w:rFonts w:hint="eastAsia" w:ascii="仿宋_GB2312" w:hAnsi="仿宋" w:eastAsia="仿宋_GB2312"/>
                <w:szCs w:val="24"/>
              </w:rPr>
              <w:t>30%</w:t>
            </w:r>
          </w:p>
        </w:tc>
        <w:tc>
          <w:tcPr>
            <w:tcW w:w="1276" w:type="dxa"/>
            <w:noWrap w:val="0"/>
            <w:vAlign w:val="center"/>
          </w:tcPr>
          <w:p w14:paraId="3BB5D9A5">
            <w:pPr>
              <w:pStyle w:val="12"/>
              <w:spacing w:line="480" w:lineRule="exact"/>
              <w:contextualSpacing/>
              <w:rPr>
                <w:rFonts w:hint="eastAsia" w:ascii="仿宋_GB2312" w:hAnsi="仿宋" w:eastAsia="仿宋_GB2312"/>
                <w:szCs w:val="24"/>
              </w:rPr>
            </w:pPr>
            <w:r>
              <w:rPr>
                <w:rFonts w:hint="eastAsia" w:ascii="仿宋_GB2312" w:hAnsi="仿宋" w:eastAsia="仿宋_GB2312"/>
                <w:szCs w:val="24"/>
              </w:rPr>
              <w:t>结果评判</w:t>
            </w:r>
          </w:p>
        </w:tc>
      </w:tr>
      <w:tr w14:paraId="11DD4D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rPr>
        <w:tc>
          <w:tcPr>
            <w:tcW w:w="746" w:type="dxa"/>
            <w:noWrap w:val="0"/>
            <w:vAlign w:val="center"/>
          </w:tcPr>
          <w:p w14:paraId="3F43E5C0">
            <w:pPr>
              <w:pStyle w:val="12"/>
              <w:spacing w:line="480" w:lineRule="exact"/>
              <w:contextualSpacing/>
              <w:rPr>
                <w:rFonts w:hint="eastAsia" w:ascii="仿宋_GB2312" w:hAnsi="仿宋" w:eastAsia="仿宋_GB2312"/>
                <w:szCs w:val="24"/>
              </w:rPr>
            </w:pPr>
            <w:r>
              <w:rPr>
                <w:rFonts w:hint="eastAsia" w:ascii="仿宋_GB2312" w:hAnsi="仿宋" w:eastAsia="仿宋_GB2312"/>
                <w:szCs w:val="24"/>
              </w:rPr>
              <w:t>2</w:t>
            </w:r>
          </w:p>
        </w:tc>
        <w:tc>
          <w:tcPr>
            <w:tcW w:w="1517" w:type="dxa"/>
            <w:noWrap w:val="0"/>
            <w:vAlign w:val="center"/>
          </w:tcPr>
          <w:p w14:paraId="3B7DB0A3">
            <w:pPr>
              <w:pStyle w:val="12"/>
              <w:spacing w:line="480" w:lineRule="exact"/>
              <w:contextualSpacing/>
              <w:rPr>
                <w:rFonts w:hint="eastAsia" w:ascii="仿宋_GB2312" w:hAnsi="仿宋" w:eastAsia="仿宋_GB2312"/>
                <w:szCs w:val="24"/>
              </w:rPr>
            </w:pPr>
            <w:r>
              <w:rPr>
                <w:rFonts w:hint="eastAsia" w:ascii="仿宋_GB2312" w:hAnsi="仿宋" w:eastAsia="仿宋_GB2312"/>
                <w:szCs w:val="24"/>
              </w:rPr>
              <w:t>工业机器人维护与操作</w:t>
            </w:r>
          </w:p>
        </w:tc>
        <w:tc>
          <w:tcPr>
            <w:tcW w:w="3550" w:type="dxa"/>
            <w:noWrap w:val="0"/>
            <w:vAlign w:val="center"/>
          </w:tcPr>
          <w:p w14:paraId="3E8D77B7">
            <w:pPr>
              <w:pStyle w:val="12"/>
              <w:spacing w:line="480" w:lineRule="exact"/>
              <w:contextualSpacing/>
              <w:jc w:val="left"/>
              <w:rPr>
                <w:rFonts w:hint="eastAsia" w:ascii="仿宋_GB2312" w:hAnsi="仿宋" w:eastAsia="仿宋_GB2312"/>
                <w:szCs w:val="24"/>
              </w:rPr>
            </w:pPr>
            <w:r>
              <w:rPr>
                <w:rFonts w:hint="eastAsia" w:ascii="仿宋_GB2312" w:hAnsi="仿宋" w:eastAsia="仿宋_GB2312"/>
                <w:szCs w:val="24"/>
              </w:rPr>
              <w:t>工业机器人的基本维护能力，完成精度参数标定和微校操作，通过对典型尖点工具的TCP标定参数误差分析判断机器人微校精度操作效果</w:t>
            </w:r>
          </w:p>
        </w:tc>
        <w:tc>
          <w:tcPr>
            <w:tcW w:w="986" w:type="dxa"/>
            <w:noWrap w:val="0"/>
            <w:vAlign w:val="center"/>
          </w:tcPr>
          <w:p w14:paraId="03EF2B30">
            <w:pPr>
              <w:pStyle w:val="12"/>
              <w:spacing w:line="480" w:lineRule="exact"/>
              <w:contextualSpacing/>
              <w:rPr>
                <w:rFonts w:hint="eastAsia" w:ascii="仿宋_GB2312" w:hAnsi="仿宋" w:eastAsia="仿宋_GB2312"/>
                <w:szCs w:val="24"/>
              </w:rPr>
            </w:pPr>
            <w:r>
              <w:rPr>
                <w:rFonts w:hint="eastAsia" w:ascii="仿宋_GB2312" w:hAnsi="仿宋" w:eastAsia="仿宋_GB2312"/>
                <w:szCs w:val="24"/>
              </w:rPr>
              <w:t>10%</w:t>
            </w:r>
          </w:p>
        </w:tc>
        <w:tc>
          <w:tcPr>
            <w:tcW w:w="1276" w:type="dxa"/>
            <w:noWrap w:val="0"/>
            <w:vAlign w:val="center"/>
          </w:tcPr>
          <w:p w14:paraId="7C096320">
            <w:pPr>
              <w:pStyle w:val="12"/>
              <w:spacing w:line="480" w:lineRule="exact"/>
              <w:contextualSpacing/>
              <w:rPr>
                <w:rFonts w:hint="eastAsia" w:ascii="仿宋_GB2312" w:hAnsi="仿宋" w:eastAsia="仿宋_GB2312"/>
                <w:szCs w:val="24"/>
              </w:rPr>
            </w:pPr>
            <w:r>
              <w:rPr>
                <w:rFonts w:hint="eastAsia" w:ascii="仿宋_GB2312" w:hAnsi="仿宋" w:eastAsia="仿宋_GB2312"/>
                <w:szCs w:val="24"/>
              </w:rPr>
              <w:t>过程评判与结果评判相结合</w:t>
            </w:r>
          </w:p>
        </w:tc>
      </w:tr>
      <w:tr w14:paraId="6D4610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rPr>
        <w:tc>
          <w:tcPr>
            <w:tcW w:w="746" w:type="dxa"/>
            <w:noWrap w:val="0"/>
            <w:vAlign w:val="center"/>
          </w:tcPr>
          <w:p w14:paraId="4D566B39">
            <w:pPr>
              <w:pStyle w:val="12"/>
              <w:spacing w:line="480" w:lineRule="exact"/>
              <w:contextualSpacing/>
              <w:rPr>
                <w:rFonts w:hint="eastAsia" w:ascii="仿宋_GB2312" w:hAnsi="仿宋" w:eastAsia="仿宋_GB2312"/>
                <w:szCs w:val="24"/>
              </w:rPr>
            </w:pPr>
            <w:r>
              <w:rPr>
                <w:rFonts w:hint="eastAsia" w:ascii="仿宋_GB2312" w:hAnsi="仿宋" w:eastAsia="仿宋_GB2312"/>
                <w:szCs w:val="24"/>
              </w:rPr>
              <w:t>3</w:t>
            </w:r>
          </w:p>
        </w:tc>
        <w:tc>
          <w:tcPr>
            <w:tcW w:w="1517" w:type="dxa"/>
            <w:noWrap w:val="0"/>
            <w:vAlign w:val="center"/>
          </w:tcPr>
          <w:p w14:paraId="50FD4FF5">
            <w:pPr>
              <w:pStyle w:val="12"/>
              <w:spacing w:line="480" w:lineRule="exact"/>
              <w:contextualSpacing/>
              <w:rPr>
                <w:rFonts w:hint="eastAsia" w:ascii="仿宋_GB2312" w:hAnsi="仿宋" w:eastAsia="仿宋_GB2312"/>
                <w:szCs w:val="24"/>
              </w:rPr>
            </w:pPr>
            <w:r>
              <w:rPr>
                <w:rFonts w:hint="eastAsia" w:ascii="仿宋_GB2312" w:hAnsi="仿宋" w:eastAsia="仿宋_GB2312"/>
                <w:szCs w:val="24"/>
              </w:rPr>
              <w:t>外壳涂胶及产品码垛</w:t>
            </w:r>
          </w:p>
        </w:tc>
        <w:tc>
          <w:tcPr>
            <w:tcW w:w="3550" w:type="dxa"/>
            <w:noWrap w:val="0"/>
            <w:vAlign w:val="center"/>
          </w:tcPr>
          <w:p w14:paraId="71888EB7">
            <w:pPr>
              <w:pStyle w:val="12"/>
              <w:spacing w:line="480" w:lineRule="exact"/>
              <w:contextualSpacing/>
              <w:jc w:val="left"/>
              <w:rPr>
                <w:rFonts w:hint="eastAsia" w:ascii="仿宋_GB2312" w:hAnsi="仿宋" w:eastAsia="仿宋_GB2312"/>
                <w:szCs w:val="24"/>
              </w:rPr>
            </w:pPr>
            <w:r>
              <w:rPr>
                <w:rFonts w:hint="eastAsia" w:ascii="仿宋_GB2312" w:hAnsi="仿宋" w:eastAsia="仿宋_GB2312"/>
                <w:szCs w:val="24"/>
              </w:rPr>
              <w:t>利用离线编程软件完成虚拟环境搭建及运动轨迹编程，仿真运行过程并生成控制文件，在真机进行功能验证</w:t>
            </w:r>
          </w:p>
        </w:tc>
        <w:tc>
          <w:tcPr>
            <w:tcW w:w="986" w:type="dxa"/>
            <w:noWrap w:val="0"/>
            <w:vAlign w:val="center"/>
          </w:tcPr>
          <w:p w14:paraId="65C391CD">
            <w:pPr>
              <w:pStyle w:val="12"/>
              <w:spacing w:line="480" w:lineRule="exact"/>
              <w:contextualSpacing/>
              <w:rPr>
                <w:rFonts w:hint="eastAsia" w:ascii="仿宋_GB2312" w:hAnsi="仿宋" w:eastAsia="仿宋_GB2312"/>
                <w:szCs w:val="24"/>
              </w:rPr>
            </w:pPr>
            <w:r>
              <w:rPr>
                <w:rFonts w:hint="eastAsia" w:ascii="仿宋_GB2312" w:hAnsi="仿宋" w:eastAsia="仿宋_GB2312"/>
                <w:szCs w:val="24"/>
              </w:rPr>
              <w:t>10%</w:t>
            </w:r>
          </w:p>
        </w:tc>
        <w:tc>
          <w:tcPr>
            <w:tcW w:w="1276" w:type="dxa"/>
            <w:noWrap w:val="0"/>
            <w:vAlign w:val="center"/>
          </w:tcPr>
          <w:p w14:paraId="01F5810B">
            <w:pPr>
              <w:pStyle w:val="12"/>
              <w:spacing w:line="480" w:lineRule="exact"/>
              <w:contextualSpacing/>
              <w:rPr>
                <w:rFonts w:hint="eastAsia" w:ascii="仿宋_GB2312" w:hAnsi="仿宋" w:eastAsia="仿宋_GB2312"/>
                <w:szCs w:val="24"/>
              </w:rPr>
            </w:pPr>
            <w:r>
              <w:rPr>
                <w:rFonts w:hint="eastAsia" w:ascii="仿宋_GB2312" w:hAnsi="仿宋" w:eastAsia="仿宋_GB2312"/>
                <w:szCs w:val="24"/>
              </w:rPr>
              <w:t>结果评判</w:t>
            </w:r>
          </w:p>
        </w:tc>
      </w:tr>
      <w:tr w14:paraId="6F7575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rPr>
        <w:tc>
          <w:tcPr>
            <w:tcW w:w="746" w:type="dxa"/>
            <w:noWrap w:val="0"/>
            <w:vAlign w:val="center"/>
          </w:tcPr>
          <w:p w14:paraId="2EEE6674">
            <w:pPr>
              <w:pStyle w:val="12"/>
              <w:spacing w:line="480" w:lineRule="exact"/>
              <w:contextualSpacing/>
              <w:rPr>
                <w:rFonts w:hint="eastAsia" w:ascii="仿宋_GB2312" w:hAnsi="仿宋" w:eastAsia="仿宋_GB2312"/>
                <w:szCs w:val="24"/>
              </w:rPr>
            </w:pPr>
            <w:r>
              <w:rPr>
                <w:rFonts w:hint="eastAsia" w:ascii="仿宋_GB2312" w:hAnsi="仿宋" w:eastAsia="仿宋_GB2312"/>
                <w:szCs w:val="24"/>
              </w:rPr>
              <w:t>4</w:t>
            </w:r>
          </w:p>
        </w:tc>
        <w:tc>
          <w:tcPr>
            <w:tcW w:w="1517" w:type="dxa"/>
            <w:noWrap w:val="0"/>
            <w:vAlign w:val="center"/>
          </w:tcPr>
          <w:p w14:paraId="59CB3A14">
            <w:pPr>
              <w:pStyle w:val="12"/>
              <w:spacing w:line="480" w:lineRule="exact"/>
              <w:contextualSpacing/>
              <w:rPr>
                <w:rFonts w:hint="eastAsia" w:ascii="仿宋_GB2312" w:hAnsi="仿宋" w:eastAsia="仿宋_GB2312"/>
                <w:szCs w:val="24"/>
              </w:rPr>
            </w:pPr>
            <w:r>
              <w:rPr>
                <w:rFonts w:hint="eastAsia" w:ascii="仿宋_GB2312" w:hAnsi="仿宋" w:eastAsia="仿宋_GB2312"/>
                <w:szCs w:val="24"/>
              </w:rPr>
              <w:t>异形芯片分拣和安装</w:t>
            </w:r>
          </w:p>
        </w:tc>
        <w:tc>
          <w:tcPr>
            <w:tcW w:w="3550" w:type="dxa"/>
            <w:noWrap w:val="0"/>
            <w:vAlign w:val="center"/>
          </w:tcPr>
          <w:p w14:paraId="7E029546">
            <w:pPr>
              <w:pStyle w:val="12"/>
              <w:spacing w:line="480" w:lineRule="exact"/>
              <w:contextualSpacing/>
              <w:jc w:val="left"/>
              <w:rPr>
                <w:rFonts w:hint="eastAsia" w:ascii="仿宋_GB2312" w:hAnsi="仿宋" w:eastAsia="仿宋_GB2312"/>
                <w:szCs w:val="24"/>
              </w:rPr>
            </w:pPr>
            <w:r>
              <w:rPr>
                <w:rFonts w:hint="eastAsia" w:ascii="仿宋_GB2312" w:hAnsi="仿宋" w:eastAsia="仿宋_GB2312"/>
                <w:szCs w:val="24"/>
              </w:rPr>
              <w:t>工业机器人进行示教操作，完成工业机器人所需的所有动作，并留有通信接口数据和动作时间，与其他设备配合调试</w:t>
            </w:r>
          </w:p>
        </w:tc>
        <w:tc>
          <w:tcPr>
            <w:tcW w:w="986" w:type="dxa"/>
            <w:noWrap w:val="0"/>
            <w:vAlign w:val="center"/>
          </w:tcPr>
          <w:p w14:paraId="7267ACC3">
            <w:pPr>
              <w:pStyle w:val="12"/>
              <w:spacing w:line="480" w:lineRule="exact"/>
              <w:contextualSpacing/>
              <w:rPr>
                <w:rFonts w:hint="eastAsia" w:ascii="仿宋_GB2312" w:hAnsi="仿宋" w:eastAsia="仿宋_GB2312"/>
                <w:szCs w:val="24"/>
              </w:rPr>
            </w:pPr>
            <w:r>
              <w:rPr>
                <w:rFonts w:hint="eastAsia" w:ascii="仿宋_GB2312" w:hAnsi="仿宋" w:eastAsia="仿宋_GB2312"/>
                <w:szCs w:val="24"/>
              </w:rPr>
              <w:t>20%</w:t>
            </w:r>
          </w:p>
        </w:tc>
        <w:tc>
          <w:tcPr>
            <w:tcW w:w="1276" w:type="dxa"/>
            <w:noWrap w:val="0"/>
            <w:vAlign w:val="center"/>
          </w:tcPr>
          <w:p w14:paraId="4B9BB203">
            <w:pPr>
              <w:pStyle w:val="12"/>
              <w:spacing w:line="480" w:lineRule="exact"/>
              <w:contextualSpacing/>
              <w:rPr>
                <w:rFonts w:hint="eastAsia" w:ascii="仿宋_GB2312" w:hAnsi="仿宋" w:eastAsia="仿宋_GB2312"/>
                <w:szCs w:val="24"/>
              </w:rPr>
            </w:pPr>
            <w:r>
              <w:rPr>
                <w:rFonts w:hint="eastAsia" w:ascii="仿宋_GB2312" w:hAnsi="仿宋" w:eastAsia="仿宋_GB2312"/>
                <w:szCs w:val="24"/>
              </w:rPr>
              <w:t>结果评判</w:t>
            </w:r>
          </w:p>
        </w:tc>
      </w:tr>
      <w:tr w14:paraId="484127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rPr>
        <w:tc>
          <w:tcPr>
            <w:tcW w:w="746" w:type="dxa"/>
            <w:noWrap w:val="0"/>
            <w:vAlign w:val="center"/>
          </w:tcPr>
          <w:p w14:paraId="248F7E93">
            <w:pPr>
              <w:pStyle w:val="12"/>
              <w:spacing w:line="480" w:lineRule="exact"/>
              <w:contextualSpacing/>
              <w:rPr>
                <w:rFonts w:hint="eastAsia" w:ascii="仿宋_GB2312" w:hAnsi="仿宋" w:eastAsia="仿宋_GB2312"/>
                <w:szCs w:val="24"/>
              </w:rPr>
            </w:pPr>
            <w:r>
              <w:rPr>
                <w:rFonts w:hint="eastAsia" w:ascii="仿宋_GB2312" w:hAnsi="仿宋" w:eastAsia="仿宋_GB2312"/>
                <w:szCs w:val="24"/>
              </w:rPr>
              <w:t>5</w:t>
            </w:r>
          </w:p>
        </w:tc>
        <w:tc>
          <w:tcPr>
            <w:tcW w:w="1517" w:type="dxa"/>
            <w:noWrap w:val="0"/>
            <w:vAlign w:val="center"/>
          </w:tcPr>
          <w:p w14:paraId="640FBEB4">
            <w:pPr>
              <w:pStyle w:val="12"/>
              <w:spacing w:line="480" w:lineRule="exact"/>
              <w:contextualSpacing/>
              <w:rPr>
                <w:rFonts w:hint="eastAsia" w:ascii="仿宋_GB2312" w:hAnsi="仿宋" w:eastAsia="仿宋_GB2312"/>
                <w:szCs w:val="24"/>
              </w:rPr>
            </w:pPr>
            <w:r>
              <w:rPr>
                <w:rFonts w:hint="eastAsia" w:ascii="仿宋_GB2312" w:hAnsi="仿宋" w:eastAsia="仿宋_GB2312"/>
                <w:szCs w:val="24"/>
              </w:rPr>
              <w:t>PLC编程、视觉设置及系统联调</w:t>
            </w:r>
          </w:p>
        </w:tc>
        <w:tc>
          <w:tcPr>
            <w:tcW w:w="3550" w:type="dxa"/>
            <w:noWrap w:val="0"/>
            <w:vAlign w:val="center"/>
          </w:tcPr>
          <w:p w14:paraId="17AFF183">
            <w:pPr>
              <w:pStyle w:val="12"/>
              <w:spacing w:line="480" w:lineRule="exact"/>
              <w:contextualSpacing/>
              <w:jc w:val="left"/>
              <w:rPr>
                <w:rFonts w:hint="eastAsia" w:ascii="仿宋_GB2312" w:hAnsi="仿宋" w:eastAsia="仿宋_GB2312"/>
                <w:szCs w:val="24"/>
              </w:rPr>
            </w:pPr>
            <w:r>
              <w:rPr>
                <w:rFonts w:hint="eastAsia" w:ascii="仿宋_GB2312" w:hAnsi="仿宋" w:eastAsia="仿宋_GB2312"/>
                <w:szCs w:val="24"/>
              </w:rPr>
              <w:t>完成PLC的程序编制和与工业机器人通讯接口设置，视觉控制器的模式识别及数据通信操作，进行整体工作流程联调</w:t>
            </w:r>
          </w:p>
        </w:tc>
        <w:tc>
          <w:tcPr>
            <w:tcW w:w="986" w:type="dxa"/>
            <w:noWrap w:val="0"/>
            <w:vAlign w:val="center"/>
          </w:tcPr>
          <w:p w14:paraId="2A5646A2">
            <w:pPr>
              <w:pStyle w:val="12"/>
              <w:spacing w:line="480" w:lineRule="exact"/>
              <w:contextualSpacing/>
              <w:rPr>
                <w:rFonts w:hint="eastAsia" w:ascii="仿宋_GB2312" w:hAnsi="仿宋" w:eastAsia="仿宋_GB2312"/>
                <w:szCs w:val="24"/>
              </w:rPr>
            </w:pPr>
            <w:r>
              <w:rPr>
                <w:rFonts w:hint="eastAsia" w:ascii="仿宋_GB2312" w:hAnsi="仿宋" w:eastAsia="仿宋_GB2312"/>
                <w:szCs w:val="24"/>
              </w:rPr>
              <w:t>25%</w:t>
            </w:r>
          </w:p>
        </w:tc>
        <w:tc>
          <w:tcPr>
            <w:tcW w:w="1276" w:type="dxa"/>
            <w:noWrap w:val="0"/>
            <w:vAlign w:val="center"/>
          </w:tcPr>
          <w:p w14:paraId="61A46E21">
            <w:pPr>
              <w:pStyle w:val="12"/>
              <w:spacing w:line="480" w:lineRule="exact"/>
              <w:contextualSpacing/>
              <w:rPr>
                <w:rFonts w:hint="eastAsia" w:ascii="仿宋_GB2312" w:hAnsi="仿宋" w:eastAsia="仿宋_GB2312"/>
                <w:szCs w:val="24"/>
              </w:rPr>
            </w:pPr>
            <w:r>
              <w:rPr>
                <w:rFonts w:hint="eastAsia" w:ascii="仿宋_GB2312" w:hAnsi="仿宋" w:eastAsia="仿宋_GB2312"/>
                <w:szCs w:val="24"/>
              </w:rPr>
              <w:t>结果评判</w:t>
            </w:r>
          </w:p>
        </w:tc>
      </w:tr>
      <w:tr w14:paraId="6963C5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rPr>
        <w:tc>
          <w:tcPr>
            <w:tcW w:w="746" w:type="dxa"/>
            <w:noWrap w:val="0"/>
            <w:vAlign w:val="center"/>
          </w:tcPr>
          <w:p w14:paraId="1DBABF56">
            <w:pPr>
              <w:pStyle w:val="12"/>
              <w:spacing w:line="480" w:lineRule="exact"/>
              <w:contextualSpacing/>
              <w:rPr>
                <w:rFonts w:hint="eastAsia" w:ascii="仿宋_GB2312" w:hAnsi="仿宋" w:eastAsia="仿宋_GB2312"/>
                <w:szCs w:val="24"/>
              </w:rPr>
            </w:pPr>
            <w:r>
              <w:rPr>
                <w:rFonts w:hint="eastAsia" w:ascii="仿宋_GB2312" w:hAnsi="仿宋" w:eastAsia="仿宋_GB2312"/>
                <w:szCs w:val="24"/>
              </w:rPr>
              <w:t>6</w:t>
            </w:r>
          </w:p>
        </w:tc>
        <w:tc>
          <w:tcPr>
            <w:tcW w:w="1517" w:type="dxa"/>
            <w:noWrap w:val="0"/>
            <w:vAlign w:val="center"/>
          </w:tcPr>
          <w:p w14:paraId="766B3724">
            <w:pPr>
              <w:pStyle w:val="12"/>
              <w:spacing w:line="480" w:lineRule="exact"/>
              <w:contextualSpacing/>
              <w:rPr>
                <w:rFonts w:hint="eastAsia" w:ascii="仿宋_GB2312" w:hAnsi="仿宋" w:eastAsia="仿宋_GB2312"/>
                <w:szCs w:val="24"/>
              </w:rPr>
            </w:pPr>
            <w:r>
              <w:rPr>
                <w:rFonts w:hint="eastAsia" w:ascii="仿宋_GB2312" w:hAnsi="仿宋" w:eastAsia="仿宋_GB2312"/>
                <w:szCs w:val="24"/>
              </w:rPr>
              <w:t>职业素养和安全规范</w:t>
            </w:r>
          </w:p>
        </w:tc>
        <w:tc>
          <w:tcPr>
            <w:tcW w:w="3550" w:type="dxa"/>
            <w:noWrap w:val="0"/>
            <w:vAlign w:val="center"/>
          </w:tcPr>
          <w:p w14:paraId="114A3AA5">
            <w:pPr>
              <w:pStyle w:val="12"/>
              <w:spacing w:line="480" w:lineRule="exact"/>
              <w:contextualSpacing/>
              <w:jc w:val="left"/>
              <w:rPr>
                <w:rFonts w:hint="eastAsia" w:ascii="仿宋_GB2312" w:hAnsi="仿宋" w:eastAsia="仿宋_GB2312"/>
                <w:szCs w:val="24"/>
              </w:rPr>
            </w:pPr>
            <w:r>
              <w:rPr>
                <w:rFonts w:hint="eastAsia" w:ascii="仿宋_GB2312" w:hAnsi="仿宋" w:eastAsia="仿宋_GB2312"/>
                <w:szCs w:val="24"/>
              </w:rPr>
              <w:t>现场操作遵守安全规范、文明参赛；工具摆放、接线等符合职业岗位要求；团队分工合作合理；着装规范整洁，爱护设备，保持竞赛环境清洁有序；公平竞赛，遵守赛场纪律，抗工作环境干扰能力强、善于与裁判沟通</w:t>
            </w:r>
          </w:p>
        </w:tc>
        <w:tc>
          <w:tcPr>
            <w:tcW w:w="986" w:type="dxa"/>
            <w:noWrap w:val="0"/>
            <w:vAlign w:val="center"/>
          </w:tcPr>
          <w:p w14:paraId="2DE71C8A">
            <w:pPr>
              <w:pStyle w:val="12"/>
              <w:spacing w:line="480" w:lineRule="exact"/>
              <w:contextualSpacing/>
              <w:rPr>
                <w:rFonts w:hint="eastAsia" w:ascii="仿宋_GB2312" w:hAnsi="仿宋" w:eastAsia="仿宋_GB2312"/>
                <w:szCs w:val="24"/>
              </w:rPr>
            </w:pPr>
            <w:r>
              <w:rPr>
                <w:rFonts w:hint="eastAsia" w:ascii="仿宋_GB2312" w:hAnsi="仿宋" w:eastAsia="仿宋_GB2312"/>
                <w:szCs w:val="24"/>
              </w:rPr>
              <w:t>5%</w:t>
            </w:r>
          </w:p>
        </w:tc>
        <w:tc>
          <w:tcPr>
            <w:tcW w:w="1276" w:type="dxa"/>
            <w:noWrap w:val="0"/>
            <w:vAlign w:val="center"/>
          </w:tcPr>
          <w:p w14:paraId="5ECE54E9">
            <w:pPr>
              <w:pStyle w:val="12"/>
              <w:spacing w:line="480" w:lineRule="exact"/>
              <w:contextualSpacing/>
              <w:rPr>
                <w:rFonts w:hint="eastAsia" w:ascii="仿宋_GB2312" w:hAnsi="仿宋" w:eastAsia="仿宋_GB2312"/>
                <w:szCs w:val="24"/>
              </w:rPr>
            </w:pPr>
            <w:r>
              <w:rPr>
                <w:rFonts w:hint="eastAsia" w:ascii="仿宋_GB2312" w:hAnsi="仿宋" w:eastAsia="仿宋_GB2312"/>
                <w:szCs w:val="24"/>
              </w:rPr>
              <w:t>过程评判</w:t>
            </w:r>
          </w:p>
        </w:tc>
      </w:tr>
    </w:tbl>
    <w:p w14:paraId="5C8AD00C">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lang w:val="en-US" w:eastAsia="zh-CN"/>
        </w:rPr>
      </w:pPr>
      <w:r>
        <w:rPr>
          <w:rFonts w:hint="eastAsia"/>
          <w:lang w:val="en-US" w:eastAsia="zh-CN"/>
        </w:rPr>
        <w:t>评分方法如下：</w:t>
      </w:r>
    </w:p>
    <w:p w14:paraId="1D1EB5A2">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lang w:val="en-US" w:eastAsia="zh-CN"/>
        </w:rPr>
      </w:pPr>
      <w:r>
        <w:rPr>
          <w:rFonts w:hint="eastAsia"/>
          <w:lang w:val="en-US" w:eastAsia="zh-CN"/>
        </w:rPr>
        <w:t>1.操作技能由评分裁判员根据评分标准统一评分与计分。</w:t>
      </w:r>
    </w:p>
    <w:p w14:paraId="3DC22B05">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lang w:val="en-US" w:eastAsia="zh-CN"/>
        </w:rPr>
      </w:pPr>
      <w:r>
        <w:rPr>
          <w:rFonts w:hint="eastAsia"/>
          <w:lang w:val="en-US" w:eastAsia="zh-CN"/>
        </w:rPr>
        <w:t>2.操作技能的成绩由现场操作过程的规范和最终完成工作任务的质量两部分组成。其中操作规范成绩根据现场实际操作表现，按照现场操作规范评分标准，依据现场裁判员的赛场记录，由现场裁判组集体评判成绩；工作任务的质量依据选手完成工作任务的数和量的评分标准，进行客观评判成绩。</w:t>
      </w:r>
    </w:p>
    <w:p w14:paraId="1C5DE405">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lang w:val="en-US" w:eastAsia="zh-CN"/>
        </w:rPr>
      </w:pPr>
      <w:r>
        <w:rPr>
          <w:rFonts w:hint="eastAsia"/>
          <w:lang w:val="en-US" w:eastAsia="zh-CN"/>
        </w:rPr>
        <w:t>3.参赛选手的最终名次依据技能操作成绩排定，当出现成绩相同时，比较操作技能中PLC编程、视觉设置及系统联调成绩，以成绩高者名次在前。</w:t>
      </w:r>
    </w:p>
    <w:p w14:paraId="1835812E">
      <w:pPr>
        <w:keepNext w:val="0"/>
        <w:keepLines w:val="0"/>
        <w:pageBreakBefore w:val="0"/>
        <w:widowControl w:val="0"/>
        <w:kinsoku/>
        <w:wordWrap/>
        <w:overflowPunct/>
        <w:topLinePunct w:val="0"/>
        <w:autoSpaceDE/>
        <w:autoSpaceDN/>
        <w:bidi w:val="0"/>
        <w:adjustRightInd/>
        <w:snapToGrid/>
        <w:spacing w:line="520" w:lineRule="exact"/>
        <w:ind w:firstLine="600"/>
        <w:contextualSpacing/>
        <w:textAlignment w:val="auto"/>
        <w:rPr>
          <w:rFonts w:hint="eastAsia" w:ascii="楷体" w:hAnsi="楷体" w:eastAsia="楷体" w:cs="楷体"/>
          <w:kern w:val="0"/>
          <w:sz w:val="30"/>
          <w:szCs w:val="30"/>
          <w:lang w:val="en-US" w:eastAsia="zh-CN"/>
        </w:rPr>
      </w:pPr>
      <w:r>
        <w:rPr>
          <w:rFonts w:hint="eastAsia" w:ascii="楷体" w:hAnsi="楷体" w:eastAsia="楷体" w:cs="楷体"/>
          <w:kern w:val="0"/>
          <w:sz w:val="30"/>
          <w:szCs w:val="30"/>
          <w:lang w:val="en-US" w:eastAsia="zh-CN"/>
        </w:rPr>
        <w:t>（二）违规违纪评判</w:t>
      </w:r>
    </w:p>
    <w:p w14:paraId="5FCC93DD">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lang w:val="en-US" w:eastAsia="zh-CN"/>
        </w:rPr>
      </w:pPr>
      <w:r>
        <w:rPr>
          <w:rFonts w:hint="eastAsia"/>
          <w:lang w:val="en-US" w:eastAsia="zh-CN"/>
        </w:rPr>
        <w:t>参赛队提交比赛任务结束请求或者在比赛时间终止后，不得再进行任何操作。否则，视为比赛作弊，给参赛队记警告一次。</w:t>
      </w:r>
    </w:p>
    <w:p w14:paraId="7C7D4242">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lang w:val="en-US" w:eastAsia="zh-CN"/>
        </w:rPr>
      </w:pPr>
      <w:r>
        <w:rPr>
          <w:rFonts w:hint="eastAsia"/>
          <w:lang w:val="en-US" w:eastAsia="zh-CN"/>
        </w:rPr>
        <w:t>在竞赛过程中，选手如有不服从裁判判决、扰乱赛场秩序、舞弊等不文明行为，由裁判按照规定扣减相应分数并给予警告，情节严重的取消竞赛资格，竞赛成绩记0分。</w:t>
      </w:r>
    </w:p>
    <w:p w14:paraId="202873CC">
      <w:pPr>
        <w:spacing w:line="480" w:lineRule="exact"/>
        <w:ind w:firstLine="600" w:firstLineChars="200"/>
        <w:contextualSpacing/>
        <w:jc w:val="left"/>
        <w:rPr>
          <w:rFonts w:hint="eastAsia" w:ascii="黑体" w:hAnsi="黑体" w:eastAsia="黑体" w:cs="黑体"/>
          <w:b w:val="0"/>
          <w:bCs/>
          <w:sz w:val="30"/>
          <w:szCs w:val="30"/>
          <w:lang w:eastAsia="zh-CN"/>
        </w:rPr>
      </w:pPr>
      <w:r>
        <w:rPr>
          <w:rFonts w:hint="eastAsia" w:ascii="黑体" w:hAnsi="黑体" w:eastAsia="黑体" w:cs="黑体"/>
          <w:b w:val="0"/>
          <w:bCs/>
          <w:sz w:val="30"/>
          <w:szCs w:val="30"/>
          <w:lang w:val="en-US" w:eastAsia="zh-CN"/>
        </w:rPr>
        <w:t>九</w:t>
      </w:r>
      <w:r>
        <w:rPr>
          <w:rFonts w:hint="eastAsia" w:ascii="黑体" w:hAnsi="黑体" w:eastAsia="黑体" w:cs="黑体"/>
          <w:b w:val="0"/>
          <w:bCs/>
          <w:sz w:val="30"/>
          <w:szCs w:val="30"/>
          <w:lang w:eastAsia="zh-CN"/>
        </w:rPr>
        <w:t>、安全保障</w:t>
      </w:r>
    </w:p>
    <w:p w14:paraId="427817B5">
      <w:pPr>
        <w:keepNext w:val="0"/>
        <w:keepLines w:val="0"/>
        <w:pageBreakBefore w:val="0"/>
        <w:widowControl w:val="0"/>
        <w:kinsoku/>
        <w:wordWrap/>
        <w:overflowPunct/>
        <w:topLinePunct w:val="0"/>
        <w:autoSpaceDE/>
        <w:autoSpaceDN/>
        <w:bidi w:val="0"/>
        <w:adjustRightInd/>
        <w:snapToGrid/>
        <w:spacing w:line="520" w:lineRule="exact"/>
        <w:ind w:firstLine="600"/>
        <w:contextualSpacing/>
        <w:textAlignment w:val="auto"/>
        <w:rPr>
          <w:rFonts w:hint="eastAsia" w:ascii="楷体" w:hAnsi="楷体" w:eastAsia="楷体" w:cs="楷体"/>
          <w:kern w:val="0"/>
          <w:sz w:val="30"/>
          <w:szCs w:val="30"/>
          <w:lang w:val="zh-CN"/>
        </w:rPr>
      </w:pPr>
      <w:r>
        <w:rPr>
          <w:rFonts w:hint="eastAsia" w:ascii="楷体" w:hAnsi="楷体" w:eastAsia="楷体" w:cs="楷体"/>
          <w:kern w:val="0"/>
          <w:sz w:val="30"/>
          <w:szCs w:val="30"/>
          <w:lang w:val="zh-CN"/>
        </w:rPr>
        <w:t>（一）安全操作规程</w:t>
      </w:r>
    </w:p>
    <w:p w14:paraId="1EBCFBD8">
      <w:pPr>
        <w:keepNext w:val="0"/>
        <w:keepLines w:val="0"/>
        <w:pageBreakBefore w:val="0"/>
        <w:widowControl w:val="0"/>
        <w:kinsoku/>
        <w:wordWrap/>
        <w:overflowPunct/>
        <w:topLinePunct w:val="0"/>
        <w:autoSpaceDE/>
        <w:autoSpaceDN/>
        <w:bidi w:val="0"/>
        <w:adjustRightInd/>
        <w:snapToGrid/>
        <w:spacing w:line="520" w:lineRule="exact"/>
        <w:textAlignment w:val="auto"/>
        <w:rPr>
          <w:rFonts w:hint="default"/>
          <w:lang w:val="en-US" w:eastAsia="zh-CN"/>
        </w:rPr>
      </w:pPr>
      <w:r>
        <w:rPr>
          <w:rFonts w:hint="eastAsia"/>
          <w:lang w:val="en-US" w:eastAsia="zh-CN"/>
        </w:rPr>
        <w:t>1.参赛选手除应遵守本赛项安全规程外，还应遵守同类机电设备的安全操作规程，参赛选手必须有意外伤害保险。</w:t>
      </w:r>
    </w:p>
    <w:p w14:paraId="640AF577">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lang w:val="en-US" w:eastAsia="zh-CN"/>
        </w:rPr>
      </w:pPr>
      <w:r>
        <w:rPr>
          <w:rFonts w:hint="eastAsia"/>
          <w:lang w:val="en-US" w:eastAsia="zh-CN"/>
        </w:rPr>
        <w:t>2.参赛选手必须全面掌握本赛项所用设备操作使用说明书的内容，熟悉所用设备的一般性能和结构，禁止超性能使用。</w:t>
      </w:r>
    </w:p>
    <w:p w14:paraId="26AB1209">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lang w:val="en-US" w:eastAsia="zh-CN"/>
        </w:rPr>
      </w:pPr>
      <w:r>
        <w:rPr>
          <w:rFonts w:hint="eastAsia"/>
          <w:lang w:val="en-US" w:eastAsia="zh-CN"/>
        </w:rPr>
        <w:t>3.参赛选手在排除故障时须遵守电工安全操作等相关规定，注意操作安全。</w:t>
      </w:r>
    </w:p>
    <w:p w14:paraId="49893FB6">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lang w:val="en-US" w:eastAsia="zh-CN"/>
        </w:rPr>
      </w:pPr>
      <w:r>
        <w:rPr>
          <w:rFonts w:hint="eastAsia"/>
          <w:lang w:val="en-US" w:eastAsia="zh-CN"/>
        </w:rPr>
        <w:t>4.在竞赛全过程中参赛选手须穿绝缘鞋，工装。女选手严禁穿高跟鞋进入比赛场地，进入赛位后应将长发盘起并扎紧，防止脱落，并须戴工作帽。（鞋、帽、工装自备）</w:t>
      </w:r>
    </w:p>
    <w:p w14:paraId="33FC93BA">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lang w:val="en-US" w:eastAsia="zh-CN"/>
        </w:rPr>
      </w:pPr>
      <w:r>
        <w:rPr>
          <w:rFonts w:hint="eastAsia"/>
          <w:lang w:val="en-US" w:eastAsia="zh-CN"/>
        </w:rPr>
        <w:t>5.正确使用各测量工具，防止碰摔事故的发生。</w:t>
      </w:r>
    </w:p>
    <w:p w14:paraId="39345352">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lang w:val="en-US" w:eastAsia="zh-CN"/>
        </w:rPr>
      </w:pPr>
      <w:r>
        <w:rPr>
          <w:rFonts w:hint="eastAsia"/>
          <w:lang w:val="en-US" w:eastAsia="zh-CN"/>
        </w:rPr>
        <w:t>6.安装在同一位置的螺钉，应保证长短一致，紧固，符合工艺规定的要求。</w:t>
      </w:r>
    </w:p>
    <w:p w14:paraId="1B90172C">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lang w:val="en-US" w:eastAsia="zh-CN"/>
        </w:rPr>
      </w:pPr>
      <w:r>
        <w:rPr>
          <w:rFonts w:hint="eastAsia"/>
          <w:lang w:val="en-US" w:eastAsia="zh-CN"/>
        </w:rPr>
        <w:t>7.开动设备前，参赛选手必须举手示意裁判员对设备状况和防护进行安全检查，经同意后，方可进行通电操作。</w:t>
      </w:r>
    </w:p>
    <w:p w14:paraId="02226C15">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lang w:val="en-US" w:eastAsia="zh-CN"/>
        </w:rPr>
      </w:pPr>
      <w:r>
        <w:rPr>
          <w:rFonts w:hint="eastAsia"/>
          <w:lang w:val="en-US" w:eastAsia="zh-CN"/>
        </w:rPr>
        <w:t>8.试机后应检查相关紧固螺钉、螺帽等的松紧情况，是否有松开或脱落现象，如有应检查其原因，予以排除。</w:t>
      </w:r>
    </w:p>
    <w:p w14:paraId="1D590463">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lang w:val="en-US" w:eastAsia="zh-CN"/>
        </w:rPr>
      </w:pPr>
      <w:r>
        <w:rPr>
          <w:rFonts w:hint="eastAsia"/>
          <w:lang w:val="en-US" w:eastAsia="zh-CN"/>
        </w:rPr>
        <w:t>9.参赛选手必须熟悉安全保护措施和安全操作规程，随时监视设备运转情况，发现问题立即停车，排除故障后方可再次运行。</w:t>
      </w:r>
    </w:p>
    <w:p w14:paraId="1B41C632">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lang w:val="en-US" w:eastAsia="zh-CN"/>
        </w:rPr>
      </w:pPr>
      <w:r>
        <w:rPr>
          <w:rFonts w:hint="eastAsia"/>
          <w:lang w:val="en-US" w:eastAsia="zh-CN"/>
        </w:rPr>
        <w:t>10.每台竞赛设备应铺有绝缘地毯，电源具有2级以上的漏电和短路保护，设备本身具有短路、过载报警功能；防护装置具有电气联锁防护功能，保障安全。</w:t>
      </w:r>
    </w:p>
    <w:p w14:paraId="3BF1207C">
      <w:pPr>
        <w:keepNext w:val="0"/>
        <w:keepLines w:val="0"/>
        <w:pageBreakBefore w:val="0"/>
        <w:widowControl w:val="0"/>
        <w:kinsoku/>
        <w:wordWrap/>
        <w:overflowPunct/>
        <w:topLinePunct w:val="0"/>
        <w:autoSpaceDE/>
        <w:autoSpaceDN/>
        <w:bidi w:val="0"/>
        <w:adjustRightInd/>
        <w:snapToGrid/>
        <w:spacing w:line="520" w:lineRule="exact"/>
        <w:ind w:firstLine="600"/>
        <w:contextualSpacing/>
        <w:textAlignment w:val="auto"/>
        <w:rPr>
          <w:rFonts w:hint="eastAsia" w:ascii="楷体" w:hAnsi="楷体" w:eastAsia="楷体" w:cs="楷体"/>
          <w:kern w:val="0"/>
          <w:sz w:val="30"/>
          <w:szCs w:val="30"/>
          <w:lang w:val="zh-CN"/>
        </w:rPr>
      </w:pPr>
      <w:r>
        <w:rPr>
          <w:rFonts w:hint="eastAsia" w:ascii="楷体" w:hAnsi="楷体" w:eastAsia="楷体" w:cs="楷体"/>
          <w:kern w:val="0"/>
          <w:sz w:val="30"/>
          <w:szCs w:val="30"/>
          <w:lang w:val="zh-CN"/>
        </w:rPr>
        <w:t>（二）安全保卫</w:t>
      </w:r>
    </w:p>
    <w:p w14:paraId="6937BD3E">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lang w:val="en-US" w:eastAsia="zh-CN"/>
        </w:rPr>
      </w:pPr>
      <w:r>
        <w:rPr>
          <w:rFonts w:hint="eastAsia"/>
          <w:lang w:val="en-US" w:eastAsia="zh-CN"/>
        </w:rPr>
        <w:t>为确保大赛的顺利进行，参赛人员和工作人员须严格遵守以下安保规定：</w:t>
      </w:r>
    </w:p>
    <w:p w14:paraId="369EA879">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lang w:val="en-US" w:eastAsia="zh-CN"/>
        </w:rPr>
      </w:pPr>
      <w:r>
        <w:rPr>
          <w:rFonts w:hint="eastAsia"/>
          <w:lang w:val="en-US" w:eastAsia="zh-CN"/>
        </w:rPr>
        <w:t>1.各类人员须严格遵守赛场规则，严禁携带与参赛无关的物品入场，包括液体饮料等。严禁携带易燃易爆等危险品入内。</w:t>
      </w:r>
    </w:p>
    <w:p w14:paraId="2EC770F0">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lang w:val="en-US" w:eastAsia="zh-CN"/>
        </w:rPr>
      </w:pPr>
      <w:r>
        <w:rPr>
          <w:rFonts w:hint="eastAsia"/>
          <w:lang w:val="en-US" w:eastAsia="zh-CN"/>
        </w:rPr>
        <w:t>2各类赛务人员必须统一佩戴由大赛组委会印制的相应证件，着装整齐。</w:t>
      </w:r>
    </w:p>
    <w:p w14:paraId="44913E11">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lang w:val="en-US" w:eastAsia="zh-CN"/>
        </w:rPr>
      </w:pPr>
      <w:r>
        <w:rPr>
          <w:rFonts w:hint="eastAsia"/>
          <w:lang w:val="en-US" w:eastAsia="zh-CN"/>
        </w:rPr>
        <w:t>3.各赛场除现场裁判员、赛场配备的工作人员以外，其他人员未经赛点领导小组允许不得进入赛场。</w:t>
      </w:r>
    </w:p>
    <w:p w14:paraId="5B4F002B">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lang w:val="en-US" w:eastAsia="zh-CN"/>
        </w:rPr>
      </w:pPr>
      <w:r>
        <w:rPr>
          <w:rFonts w:hint="eastAsia"/>
          <w:lang w:val="en-US" w:eastAsia="zh-CN"/>
        </w:rPr>
        <w:t>4.新闻媒体人员进入赛场必须经过赛点领导小组允许，并且听从现场工作人员的安排和管理，不能影响竞赛进行。</w:t>
      </w:r>
    </w:p>
    <w:p w14:paraId="2A7C7DDE">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lang w:val="en-US" w:eastAsia="zh-CN"/>
        </w:rPr>
      </w:pPr>
      <w:r>
        <w:rPr>
          <w:rFonts w:hint="eastAsia"/>
          <w:lang w:val="en-US" w:eastAsia="zh-CN"/>
        </w:rPr>
        <w:t>5.场内不得大声喧哗，说笑打逗，参赛人员要服从工作人员管理。</w:t>
      </w:r>
    </w:p>
    <w:p w14:paraId="63B98645">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lang w:val="en-US" w:eastAsia="zh-CN"/>
        </w:rPr>
      </w:pPr>
      <w:r>
        <w:rPr>
          <w:rFonts w:hint="eastAsia"/>
          <w:lang w:val="en-US" w:eastAsia="zh-CN"/>
        </w:rPr>
        <w:t>6.安保人员发现安全隐患及时通报赛场负责人员。</w:t>
      </w:r>
    </w:p>
    <w:p w14:paraId="3B6681F0">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lang w:val="en-US" w:eastAsia="zh-CN"/>
        </w:rPr>
      </w:pPr>
      <w:r>
        <w:rPr>
          <w:rFonts w:hint="eastAsia"/>
          <w:lang w:val="en-US" w:eastAsia="zh-CN"/>
        </w:rPr>
        <w:t>7.赛场由裁判员监督完成设备通电前的检查全过程，对出现的操作隐患及时提醒和制止。</w:t>
      </w:r>
    </w:p>
    <w:p w14:paraId="62945C24">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_GB2312" w:cs="Times New Roman"/>
          <w:kern w:val="2"/>
          <w:sz w:val="28"/>
          <w:szCs w:val="21"/>
          <w:lang w:val="en-US" w:eastAsia="zh-CN" w:bidi="ar-SA"/>
        </w:rPr>
      </w:pPr>
      <w:r>
        <w:rPr>
          <w:rFonts w:hint="eastAsia"/>
          <w:lang w:val="en-US" w:eastAsia="zh-CN"/>
        </w:rPr>
        <w:t>8.赛场提供应急医疗措施和消防措施，并制定突发事件预案。</w:t>
      </w:r>
    </w:p>
    <w:p w14:paraId="24B4562A">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lang w:val="zh-CN"/>
        </w:rPr>
      </w:pPr>
    </w:p>
    <w:sectPr>
      <w:footerReference r:id="rId5" w:type="default"/>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560"/>
      </w:pPr>
      <w:r>
        <w:separator/>
      </w:r>
    </w:p>
  </w:endnote>
  <w:endnote w:type="continuationSeparator" w:id="1">
    <w:p>
      <w:pPr>
        <w:spacing w:line="240" w:lineRule="auto"/>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 w:name="FangSong_GB2312">
    <w:altName w:val="仿宋_GB2312"/>
    <w:panose1 w:val="02010609030101010101"/>
    <w:charset w:val="86"/>
    <w:family w:val="auto"/>
    <w:pitch w:val="default"/>
    <w:sig w:usb0="00000000" w:usb1="00000000" w:usb2="00000000" w:usb3="00000000" w:csb0="00040000" w:csb1="00000000"/>
  </w:font>
  <w:font w:name="方正小标宋简体">
    <w:panose1 w:val="03000509000000000000"/>
    <w:charset w:val="86"/>
    <w:family w:val="auto"/>
    <w:pitch w:val="default"/>
    <w:sig w:usb0="00000001" w:usb1="080E0000" w:usb2="00000000" w:usb3="00000000" w:csb0="00040000" w:csb1="00000000"/>
  </w:font>
  <w:font w:name="微软雅黑">
    <w:panose1 w:val="020B0503020204020204"/>
    <w:charset w:val="86"/>
    <w:family w:val="swiss"/>
    <w:pitch w:val="default"/>
    <w:sig w:usb0="80000287" w:usb1="2ACF3C50" w:usb2="00000016" w:usb3="00000000" w:csb0="0004001F" w:csb1="00000000"/>
  </w:font>
  <w:font w:name="楷体">
    <w:panose1 w:val="02010609060101010101"/>
    <w:charset w:val="86"/>
    <w:family w:val="auto"/>
    <w:pitch w:val="default"/>
    <w:sig w:usb0="800002BF" w:usb1="38CF7CFA" w:usb2="00000016" w:usb3="00000000" w:csb0="00040001" w:csb1="00000000"/>
  </w:font>
  <w:font w:name="Calibri">
    <w:panose1 w:val="020F0502020204030204"/>
    <w:charset w:val="01"/>
    <w:family w:val="auto"/>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451F81">
    <w:pPr>
      <w:spacing w:line="235" w:lineRule="auto"/>
      <w:jc w:val="center"/>
      <w:rPr>
        <w:rFonts w:ascii="宋体" w:hAnsi="宋体" w:eastAsia="宋体" w:cs="宋体"/>
        <w:sz w:val="28"/>
        <w:szCs w:val="28"/>
      </w:rPr>
    </w:pPr>
    <w:r>
      <w:rPr>
        <w:sz w:val="2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39D2CFB">
                          <w:pPr>
                            <w:pStyle w:val="6"/>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439D2CFB">
                    <w:pPr>
                      <w:pStyle w:val="6"/>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560"/>
      </w:pPr>
      <w:r>
        <w:separator/>
      </w:r>
    </w:p>
  </w:footnote>
  <w:footnote w:type="continuationSeparator" w:id="1">
    <w:p>
      <w:pPr>
        <w:spacing w:line="240" w:lineRule="auto"/>
        <w:ind w:firstLine="56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33E72D9"/>
    <w:rsid w:val="02D87A92"/>
    <w:rsid w:val="033E72D9"/>
    <w:rsid w:val="057616D4"/>
    <w:rsid w:val="074D5D17"/>
    <w:rsid w:val="0D8F07D8"/>
    <w:rsid w:val="12816A4E"/>
    <w:rsid w:val="12CB4526"/>
    <w:rsid w:val="13CD48C5"/>
    <w:rsid w:val="175E3935"/>
    <w:rsid w:val="197F197B"/>
    <w:rsid w:val="1B925AD8"/>
    <w:rsid w:val="1CF96530"/>
    <w:rsid w:val="1F375A4E"/>
    <w:rsid w:val="29AA2EED"/>
    <w:rsid w:val="2ADE3A05"/>
    <w:rsid w:val="38F7226E"/>
    <w:rsid w:val="45665B53"/>
    <w:rsid w:val="486643E3"/>
    <w:rsid w:val="541C40AD"/>
    <w:rsid w:val="58405C61"/>
    <w:rsid w:val="60866998"/>
    <w:rsid w:val="629B2EB9"/>
    <w:rsid w:val="69E446F8"/>
    <w:rsid w:val="6F8708A8"/>
    <w:rsid w:val="74330900"/>
    <w:rsid w:val="79F053BB"/>
    <w:rsid w:val="7B19598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9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560" w:lineRule="exact"/>
      <w:ind w:firstLine="560" w:firstLineChars="200"/>
    </w:pPr>
    <w:rPr>
      <w:rFonts w:ascii="仿宋" w:hAnsi="仿宋" w:eastAsia="仿宋_GB2312" w:cs="Times New Roman"/>
      <w:kern w:val="2"/>
      <w:sz w:val="28"/>
      <w:szCs w:val="21"/>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kern w:val="44"/>
      <w:sz w:val="48"/>
      <w:szCs w:val="48"/>
      <w:lang w:val="en-US" w:eastAsia="zh-CN" w:bidi="ar"/>
    </w:rPr>
  </w:style>
  <w:style w:type="paragraph" w:styleId="3">
    <w:name w:val="heading 3"/>
    <w:next w:val="1"/>
    <w:qFormat/>
    <w:uiPriority w:val="99"/>
    <w:pPr>
      <w:keepNext/>
      <w:keepLines/>
      <w:spacing w:line="560" w:lineRule="exact"/>
      <w:ind w:firstLine="200" w:firstLineChars="200"/>
      <w:outlineLvl w:val="2"/>
    </w:pPr>
    <w:rPr>
      <w:rFonts w:ascii="Times New Roman" w:hAnsi="Times New Roman" w:eastAsia="仿宋_GB2312" w:cs="Times New Roman"/>
      <w:bCs/>
      <w:w w:val="105"/>
      <w:kern w:val="2"/>
      <w:sz w:val="28"/>
      <w:szCs w:val="32"/>
      <w:lang w:val="en-US" w:eastAsia="zh-CN" w:bidi="ar-SA"/>
    </w:rPr>
  </w:style>
  <w:style w:type="character" w:default="1" w:styleId="10">
    <w:name w:val="Default Paragraph Font"/>
    <w:semiHidden/>
    <w:qFormat/>
    <w:uiPriority w:val="0"/>
  </w:style>
  <w:style w:type="table" w:default="1" w:styleId="9">
    <w:name w:val="Normal Table"/>
    <w:semiHidden/>
    <w:qFormat/>
    <w:uiPriority w:val="0"/>
    <w:tblPr>
      <w:tblCellMar>
        <w:top w:w="0" w:type="dxa"/>
        <w:left w:w="108" w:type="dxa"/>
        <w:bottom w:w="0" w:type="dxa"/>
        <w:right w:w="108" w:type="dxa"/>
      </w:tblCellMar>
    </w:tblPr>
  </w:style>
  <w:style w:type="paragraph" w:styleId="4">
    <w:name w:val="Body Text"/>
    <w:basedOn w:val="1"/>
    <w:semiHidden/>
    <w:qFormat/>
    <w:uiPriority w:val="0"/>
    <w:rPr>
      <w:rFonts w:ascii="FangSong_GB2312" w:hAnsi="FangSong_GB2312" w:eastAsia="FangSong_GB2312" w:cs="FangSong_GB2312"/>
      <w:sz w:val="28"/>
      <w:szCs w:val="28"/>
      <w:lang w:val="en-US" w:eastAsia="en-US" w:bidi="ar-SA"/>
    </w:rPr>
  </w:style>
  <w:style w:type="paragraph" w:styleId="5">
    <w:name w:val="Body Text Indent"/>
    <w:basedOn w:val="1"/>
    <w:qFormat/>
    <w:uiPriority w:val="0"/>
    <w:pPr>
      <w:ind w:firstLine="640" w:firstLineChars="200"/>
    </w:pPr>
    <w:rPr>
      <w:rFonts w:ascii="仿宋_GB2312" w:hAnsi="Times New Roman" w:eastAsia="仿宋_GB2312"/>
      <w:sz w:val="32"/>
    </w:rPr>
  </w:style>
  <w:style w:type="paragraph" w:styleId="6">
    <w:name w:val="footer"/>
    <w:basedOn w:val="1"/>
    <w:qFormat/>
    <w:uiPriority w:val="0"/>
    <w:pPr>
      <w:tabs>
        <w:tab w:val="center" w:pos="4153"/>
        <w:tab w:val="right" w:pos="8306"/>
      </w:tabs>
      <w:snapToGrid w:val="0"/>
      <w:jc w:val="left"/>
    </w:pPr>
    <w:rPr>
      <w:sz w:val="18"/>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8">
    <w:name w:val="Normal (Web)"/>
    <w:basedOn w:val="1"/>
    <w:qFormat/>
    <w:uiPriority w:val="0"/>
    <w:pPr>
      <w:spacing w:before="0" w:beforeAutospacing="1" w:after="0" w:afterAutospacing="1"/>
      <w:ind w:left="0" w:right="0"/>
      <w:jc w:val="left"/>
    </w:pPr>
    <w:rPr>
      <w:kern w:val="0"/>
      <w:sz w:val="24"/>
      <w:lang w:val="en-US" w:eastAsia="zh-CN" w:bidi="ar"/>
    </w:rPr>
  </w:style>
  <w:style w:type="paragraph" w:styleId="11">
    <w:name w:val="List Paragraph"/>
    <w:basedOn w:val="1"/>
    <w:qFormat/>
    <w:uiPriority w:val="34"/>
    <w:pPr>
      <w:ind w:firstLine="420" w:firstLineChars="200"/>
    </w:pPr>
  </w:style>
  <w:style w:type="paragraph" w:customStyle="1" w:styleId="12">
    <w:name w:val="表"/>
    <w:qFormat/>
    <w:uiPriority w:val="0"/>
    <w:pPr>
      <w:jc w:val="center"/>
    </w:pPr>
    <w:rPr>
      <w:rFonts w:ascii="Times New Roman" w:hAnsi="Times New Roman" w:eastAsia="宋体" w:cs="Times New Roman"/>
      <w:kern w:val="2"/>
      <w:sz w:val="24"/>
      <w:szCs w:val="22"/>
      <w:lang w:val="en-US" w:eastAsia="zh-CN" w:bidi="ar-SA"/>
    </w:rPr>
  </w:style>
  <w:style w:type="paragraph" w:customStyle="1" w:styleId="13">
    <w:name w:val="表 靠左"/>
    <w:qFormat/>
    <w:uiPriority w:val="0"/>
    <w:rPr>
      <w:rFonts w:ascii="Times New Roman" w:hAnsi="Times New Roman" w:eastAsia="仿宋" w:cs="Times New Roman"/>
      <w:kern w:val="2"/>
      <w:sz w:val="21"/>
      <w:szCs w:val="22"/>
      <w:lang w:val="en-US" w:eastAsia="zh-CN" w:bidi="ar-SA"/>
    </w:rPr>
  </w:style>
  <w:style w:type="paragraph" w:customStyle="1" w:styleId="14">
    <w:name w:val="图"/>
    <w:next w:val="1"/>
    <w:qFormat/>
    <w:uiPriority w:val="5"/>
    <w:pPr>
      <w:jc w:val="center"/>
    </w:pPr>
    <w:rPr>
      <w:rFonts w:ascii="Times New Roman" w:hAnsi="Times New Roman" w:eastAsia="仿宋" w:cs="Times New Roman"/>
      <w:kern w:val="2"/>
      <w:sz w:val="28"/>
      <w:szCs w:val="22"/>
      <w:lang w:val="en-US" w:eastAsia="zh-CN" w:bidi="ar-SA"/>
    </w:rPr>
  </w:style>
  <w:style w:type="paragraph" w:customStyle="1" w:styleId="15">
    <w:name w:val="图题注"/>
    <w:next w:val="1"/>
    <w:qFormat/>
    <w:uiPriority w:val="6"/>
    <w:pPr>
      <w:spacing w:after="50" w:afterLines="50" w:line="560" w:lineRule="exact"/>
      <w:jc w:val="center"/>
    </w:pPr>
    <w:rPr>
      <w:rFonts w:ascii="Times New Roman" w:hAnsi="Times New Roman" w:eastAsia="仿宋_GB2312" w:cs="Times New Roman"/>
      <w:kern w:val="2"/>
      <w:sz w:val="24"/>
      <w:szCs w:val="22"/>
      <w:lang w:val="en-US" w:eastAsia="zh-CN" w:bidi="ar-SA"/>
    </w:rPr>
  </w:style>
  <w:style w:type="paragraph" w:customStyle="1" w:styleId="16">
    <w:name w:val="表题注"/>
    <w:next w:val="1"/>
    <w:qFormat/>
    <w:uiPriority w:val="99"/>
    <w:pPr>
      <w:keepNext/>
      <w:spacing w:before="50" w:beforeLines="50" w:line="560" w:lineRule="exact"/>
      <w:jc w:val="center"/>
    </w:pPr>
    <w:rPr>
      <w:rFonts w:ascii="Times New Roman" w:hAnsi="Times New Roman" w:eastAsia="仿宋_GB2312" w:cs="Times New Roman"/>
      <w:kern w:val="2"/>
      <w:sz w:val="24"/>
      <w:szCs w:val="22"/>
      <w:lang w:val="en-US" w:eastAsia="zh-CN" w:bidi="ar-SA"/>
    </w:rPr>
  </w:style>
  <w:style w:type="paragraph" w:customStyle="1" w:styleId="17">
    <w:name w:val="表-居中"/>
    <w:qFormat/>
    <w:uiPriority w:val="7"/>
    <w:pPr>
      <w:jc w:val="center"/>
    </w:pPr>
    <w:rPr>
      <w:rFonts w:ascii="宋体" w:hAnsi="宋体" w:eastAsia="仿宋_GB2312" w:cs="Times New Roman"/>
      <w:kern w:val="2"/>
      <w:sz w:val="24"/>
      <w:szCs w:val="22"/>
      <w:lang w:val="en-US" w:eastAsia="zh-CN" w:bidi="ar-SA"/>
    </w:rPr>
  </w:style>
  <w:style w:type="paragraph" w:customStyle="1" w:styleId="18">
    <w:name w:val="Table Text"/>
    <w:basedOn w:val="1"/>
    <w:semiHidden/>
    <w:qFormat/>
    <w:uiPriority w:val="0"/>
    <w:rPr>
      <w:rFonts w:ascii="宋体" w:hAnsi="宋体" w:eastAsia="宋体" w:cs="宋体"/>
      <w:sz w:val="22"/>
      <w:szCs w:val="22"/>
      <w:lang w:val="en-US" w:eastAsia="en-US" w:bidi="ar-SA"/>
    </w:rPr>
  </w:style>
  <w:style w:type="table" w:customStyle="1" w:styleId="19">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jpe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5" Type="http://schemas.openxmlformats.org/officeDocument/2006/relationships/fontTable" Target="fontTable.xml"/><Relationship Id="rId24" Type="http://schemas.openxmlformats.org/officeDocument/2006/relationships/customXml" Target="../customXml/item2.xml"/><Relationship Id="rId23" Type="http://schemas.openxmlformats.org/officeDocument/2006/relationships/customXml" Target="../customXml/item1.xml"/><Relationship Id="rId22" Type="http://schemas.openxmlformats.org/officeDocument/2006/relationships/image" Target="media/image11.png"/><Relationship Id="rId21" Type="http://schemas.openxmlformats.org/officeDocument/2006/relationships/image" Target="media/image10.jpeg"/><Relationship Id="rId20" Type="http://schemas.openxmlformats.org/officeDocument/2006/relationships/image" Target="media/image9.jpeg"/><Relationship Id="rId2" Type="http://schemas.openxmlformats.org/officeDocument/2006/relationships/settings" Target="settings.xml"/><Relationship Id="rId19" Type="http://schemas.openxmlformats.org/officeDocument/2006/relationships/image" Target="media/image8.jpeg"/><Relationship Id="rId18" Type="http://schemas.openxmlformats.org/officeDocument/2006/relationships/image" Target="media/image7.jpeg"/><Relationship Id="rId17" Type="http://schemas.openxmlformats.org/officeDocument/2006/relationships/image" Target="media/image6.jpeg"/><Relationship Id="rId16" Type="http://schemas.openxmlformats.org/officeDocument/2006/relationships/image" Target="media/image5.jpeg"/><Relationship Id="rId15" Type="http://schemas.microsoft.com/office/2007/relationships/diagramDrawing" Target="diagrams/drawing1.xml"/><Relationship Id="rId14" Type="http://schemas.openxmlformats.org/officeDocument/2006/relationships/diagramColors" Target="diagrams/colors1.xml"/><Relationship Id="rId13" Type="http://schemas.openxmlformats.org/officeDocument/2006/relationships/diagramQuickStyle" Target="diagrams/quickStyle1.xml"/><Relationship Id="rId12" Type="http://schemas.openxmlformats.org/officeDocument/2006/relationships/diagramLayout" Target="diagrams/layout1.xml"/><Relationship Id="rId11" Type="http://schemas.openxmlformats.org/officeDocument/2006/relationships/diagramData" Target="diagrams/data1.xml"/><Relationship Id="rId10" Type="http://schemas.openxmlformats.org/officeDocument/2006/relationships/image" Target="media/image4.jpeg"/><Relationship Id="rId1" Type="http://schemas.openxmlformats.org/officeDocument/2006/relationships/styles" Target="styles.xml"/></Relationships>
</file>

<file path=word/diagrams/_rels/data1.xml.rels><?xml version="1.0" encoding="UTF-8" standalone="yes"?>
<Relationships xmlns="http://schemas.openxmlformats.org/package/2006/relationships"><Relationship Id="rId5" Type="http://schemas.openxmlformats.org/officeDocument/2006/relationships/image" Target="../media/image16.jpeg"/><Relationship Id="rId4" Type="http://schemas.openxmlformats.org/officeDocument/2006/relationships/image" Target="../media/image15.jpeg"/><Relationship Id="rId3" Type="http://schemas.openxmlformats.org/officeDocument/2006/relationships/image" Target="../media/image14.jpeg"/><Relationship Id="rId2" Type="http://schemas.openxmlformats.org/officeDocument/2006/relationships/image" Target="../media/image13.png"/><Relationship Id="rId1" Type="http://schemas.openxmlformats.org/officeDocument/2006/relationships/image" Target="../media/image12.png"/></Relationships>
</file>

<file path=word/diagrams/_rels/drawing1.xml.rels><?xml version="1.0" encoding="UTF-8" standalone="yes"?>
<Relationships xmlns="http://schemas.openxmlformats.org/package/2006/relationships"><Relationship Id="rId5" Type="http://schemas.openxmlformats.org/officeDocument/2006/relationships/image" Target="../media/image16.jpeg"/><Relationship Id="rId4" Type="http://schemas.openxmlformats.org/officeDocument/2006/relationships/image" Target="../media/image15.jpeg"/><Relationship Id="rId3" Type="http://schemas.openxmlformats.org/officeDocument/2006/relationships/image" Target="../media/image14.jpeg"/><Relationship Id="rId2" Type="http://schemas.openxmlformats.org/officeDocument/2006/relationships/image" Target="../media/image13.png"/><Relationship Id="rId1" Type="http://schemas.openxmlformats.org/officeDocument/2006/relationships/image" Target="../media/image12.png"/></Relationships>
</file>

<file path=word/diagrams/colors1.xml><?xml version="1.0" encoding="utf-8"?>
<dgm:colorsDef xmlns:dgm="http://schemas.openxmlformats.org/drawingml/2006/diagram" xmlns:a="http://schemas.openxmlformats.org/drawingml/2006/main" uniqueId="urn:microsoft.com/office/officeart/2005/8/colors/accent2_1">
  <dgm:title val=""/>
  <dgm:desc val=""/>
  <dgm:catLst>
    <dgm:cat type="accent2" pri="11100"/>
  </dgm:catLst>
  <dgm:styleLbl name="align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align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alig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b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b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con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fgAcc0">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2">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3">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4">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f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l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dgm:txEffectClrLst/>
  </dgm:styleLbl>
  <dgm:styleLbl name="parChTrans2D2">
    <dgm:fillClrLst meth="repeat">
      <a:schemeClr val="accent2"/>
    </dgm:fillClrLst>
    <dgm:linClrLst meth="repeat">
      <a:schemeClr val="accent2"/>
    </dgm:linClrLst>
    <dgm:effectClrLst/>
    <dgm:txLinClrLst/>
    <dgm:txFillClrLst/>
    <dgm:txEffectClrLst/>
  </dgm:styleLbl>
  <dgm:styleLbl name="parChTrans2D3">
    <dgm:fillClrLst meth="repeat">
      <a:schemeClr val="accent2"/>
    </dgm:fillClrLst>
    <dgm:linClrLst meth="repeat">
      <a:schemeClr val="accent2"/>
    </dgm:linClrLst>
    <dgm:effectClrLst/>
    <dgm:txLinClrLst/>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trAlignAcc1">
    <dgm:fillClrLst meth="repeat">
      <a:schemeClr val="accent2">
        <a:alpha val="40000"/>
        <a:tint val="40000"/>
      </a:schemeClr>
    </dgm:fillClrLst>
    <dgm:linClrLst meth="repeat">
      <a:schemeClr val="accent2"/>
    </dgm:linClrLst>
    <dgm:effectClrLst/>
    <dgm:txLinClrLst/>
    <dgm:txFillClrLst meth="repeat">
      <a:schemeClr val="dk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vennNode1">
    <dgm:fillClrLst meth="repeat">
      <a:schemeClr val="lt1">
        <a:alpha val="50000"/>
      </a:schemeClr>
    </dgm:fillClrLst>
    <dgm:linClrLst meth="repeat">
      <a:schemeClr val="accent2">
        <a:shade val="80000"/>
      </a:schemeClr>
    </dgm:linClrLst>
    <dgm:effectClrLst/>
    <dgm:txLinClrLst/>
    <dgm:txFillClrLst/>
    <dgm:txEffectClrLst/>
  </dgm:styleLbl>
</dgm:colorsDef>
</file>

<file path=word/diagrams/data1.xml><?xml version="1.0" encoding="utf-8"?>
<dgm:dataModel xmlns:dgm="http://schemas.openxmlformats.org/drawingml/2006/diagram" xmlns:a="http://schemas.openxmlformats.org/drawingml/2006/main">
  <dgm:ptLst>
    <dgm:pt modelId="{7DD44BC8-8DA6-4288-9476-C64992A4B248}" type="doc">
      <dgm:prSet loTypeId="urn:microsoft.com/office/officeart/2008/layout/BendingPictureCaptionList" loCatId="picture" qsTypeId="urn:microsoft.com/office/officeart/2005/8/quickstyle/simple1" qsCatId="simple" csTypeId="urn:microsoft.com/office/officeart/2005/8/colors/accent2_1" csCatId="accent2" phldr="1"/>
      <dgm:spPr/>
      <dgm:t>
        <a:bodyPr/>
        <a:p>
          <a:endParaRPr lang="zh-CN" altLang="en-US"/>
        </a:p>
      </dgm:t>
    </dgm:pt>
    <dgm:pt modelId="{75CB818A-4DA8-461E-AA4D-1082AD75A915}">
      <dgm:prSet phldrT="[文本]" custT="1"/>
      <dgm:spPr>
        <a:xfrm>
          <a:off x="1164686" y="805484"/>
          <a:ext cx="936001" cy="278332"/>
        </a:xfrm>
        <a:prstGeom prst="wedgeRectCallout">
          <a:avLst>
            <a:gd name="adj1" fmla="val 20250"/>
            <a:gd name="adj2" fmla="val -60700"/>
          </a:avLst>
        </a:prstGeom>
        <a:solidFill>
          <a:sysClr val="window" lastClr="FFFFFF">
            <a:hueOff val="0"/>
            <a:satOff val="0"/>
            <a:lumOff val="0"/>
            <a:alphaOff val="0"/>
          </a:sysClr>
        </a:solidFill>
        <a:ln w="12700" cap="flat" cmpd="sng" algn="ctr">
          <a:solidFill>
            <a:srgbClr val="ED7D31">
              <a:shade val="80000"/>
              <a:hueOff val="0"/>
              <a:satOff val="0"/>
              <a:lumOff val="0"/>
              <a:alphaOff val="0"/>
            </a:srgbClr>
          </a:solidFill>
          <a:prstDash val="solid"/>
          <a:miter lim="800000"/>
        </a:ln>
        <a:effectLst/>
      </dgm:spPr>
      <dgm:t>
        <a:bodyPr/>
        <a:p>
          <a:r>
            <a:rPr lang="zh-CN" altLang="en-US" sz="1100">
              <a:solidFill>
                <a:sysClr val="windowText" lastClr="000000">
                  <a:hueOff val="0"/>
                  <a:satOff val="0"/>
                  <a:lumOff val="0"/>
                  <a:alphaOff val="0"/>
                </a:sysClr>
              </a:solidFill>
              <a:latin typeface="Calibri" panose="020F0502020204030204"/>
              <a:ea typeface="宋体" panose="02010600030101010101" charset="-122"/>
              <a:cs typeface="+mn-cs"/>
            </a:rPr>
            <a:t>涂胶工具</a:t>
          </a:r>
        </a:p>
      </dgm:t>
    </dgm:pt>
    <dgm:pt modelId="{8BD2C4FC-AA56-4A0D-B8C6-118A19997ED6}" cxnId="{6207BD10-C10A-4DCB-ABC9-0E360FCE8A79}" type="parTrans">
      <dgm:prSet/>
      <dgm:spPr/>
      <dgm:t>
        <a:bodyPr/>
        <a:p>
          <a:endParaRPr lang="zh-CN" altLang="en-US" sz="1100"/>
        </a:p>
      </dgm:t>
    </dgm:pt>
    <dgm:pt modelId="{E6F81C35-BB72-4552-A0F7-68DA3AB350CE}" cxnId="{6207BD10-C10A-4DCB-ABC9-0E360FCE8A79}" type="sibTrans">
      <dgm:prSet/>
      <dgm:spPr/>
      <dgm:t>
        <a:bodyPr/>
        <a:p>
          <a:endParaRPr lang="zh-CN" altLang="en-US" sz="1100"/>
        </a:p>
      </dgm:t>
    </dgm:pt>
    <dgm:pt modelId="{CF497EC0-C91D-4B31-900D-07FEE08198B2}">
      <dgm:prSet phldrT="[文本]" custT="1"/>
      <dgm:spPr>
        <a:xfrm>
          <a:off x="2263905" y="805484"/>
          <a:ext cx="936001" cy="278332"/>
        </a:xfrm>
        <a:prstGeom prst="wedgeRectCallout">
          <a:avLst>
            <a:gd name="adj1" fmla="val 20250"/>
            <a:gd name="adj2" fmla="val -60700"/>
          </a:avLst>
        </a:prstGeom>
        <a:solidFill>
          <a:sysClr val="window" lastClr="FFFFFF">
            <a:hueOff val="0"/>
            <a:satOff val="0"/>
            <a:lumOff val="0"/>
            <a:alphaOff val="0"/>
          </a:sysClr>
        </a:solidFill>
        <a:ln w="12700" cap="flat" cmpd="sng" algn="ctr">
          <a:solidFill>
            <a:srgbClr val="ED7D31">
              <a:shade val="80000"/>
              <a:hueOff val="0"/>
              <a:satOff val="0"/>
              <a:lumOff val="0"/>
              <a:alphaOff val="0"/>
            </a:srgbClr>
          </a:solidFill>
          <a:prstDash val="solid"/>
          <a:miter lim="800000"/>
        </a:ln>
        <a:effectLst/>
      </dgm:spPr>
      <dgm:t>
        <a:bodyPr/>
        <a:p>
          <a:r>
            <a:rPr lang="zh-CN" altLang="en-US" sz="1100">
              <a:solidFill>
                <a:sysClr val="windowText" lastClr="000000">
                  <a:hueOff val="0"/>
                  <a:satOff val="0"/>
                  <a:lumOff val="0"/>
                  <a:alphaOff val="0"/>
                </a:sysClr>
              </a:solidFill>
              <a:latin typeface="Calibri" panose="020F0502020204030204"/>
              <a:ea typeface="宋体" panose="02010600030101010101" charset="-122"/>
              <a:cs typeface="+mn-cs"/>
            </a:rPr>
            <a:t>夹爪工具</a:t>
          </a:r>
        </a:p>
      </dgm:t>
    </dgm:pt>
    <dgm:pt modelId="{8E055D2D-EA29-48E8-AD11-940CE29D9C5C}" cxnId="{438FAE3F-89F3-4811-8300-C5E5C2CE3C7B}" type="parTrans">
      <dgm:prSet/>
      <dgm:spPr/>
      <dgm:t>
        <a:bodyPr/>
        <a:p>
          <a:endParaRPr lang="zh-CN" altLang="en-US" sz="1100"/>
        </a:p>
      </dgm:t>
    </dgm:pt>
    <dgm:pt modelId="{7A6086E0-9BF5-4EA2-AEB0-E44FD04BD7B5}" cxnId="{438FAE3F-89F3-4811-8300-C5E5C2CE3C7B}" type="sibTrans">
      <dgm:prSet/>
      <dgm:spPr/>
      <dgm:t>
        <a:bodyPr/>
        <a:p>
          <a:endParaRPr lang="zh-CN" altLang="en-US" sz="1100"/>
        </a:p>
      </dgm:t>
    </dgm:pt>
    <dgm:pt modelId="{F08CE835-00B1-4D87-AA2A-EDFAF6E85E05}">
      <dgm:prSet phldrT="[文本]" custT="1"/>
      <dgm:spPr>
        <a:xfrm>
          <a:off x="3363123" y="805484"/>
          <a:ext cx="936001" cy="278332"/>
        </a:xfrm>
        <a:prstGeom prst="wedgeRectCallout">
          <a:avLst>
            <a:gd name="adj1" fmla="val 20250"/>
            <a:gd name="adj2" fmla="val -60700"/>
          </a:avLst>
        </a:prstGeom>
        <a:solidFill>
          <a:sysClr val="window" lastClr="FFFFFF">
            <a:hueOff val="0"/>
            <a:satOff val="0"/>
            <a:lumOff val="0"/>
            <a:alphaOff val="0"/>
          </a:sysClr>
        </a:solidFill>
        <a:ln w="12700" cap="flat" cmpd="sng" algn="ctr">
          <a:solidFill>
            <a:srgbClr val="ED7D31">
              <a:shade val="80000"/>
              <a:hueOff val="0"/>
              <a:satOff val="0"/>
              <a:lumOff val="0"/>
              <a:alphaOff val="0"/>
            </a:srgbClr>
          </a:solidFill>
          <a:prstDash val="solid"/>
          <a:miter lim="800000"/>
        </a:ln>
        <a:effectLst/>
      </dgm:spPr>
      <dgm:t>
        <a:bodyPr/>
        <a:p>
          <a:r>
            <a:rPr lang="zh-CN" altLang="en-US" sz="1100">
              <a:solidFill>
                <a:sysClr val="windowText" lastClr="000000">
                  <a:hueOff val="0"/>
                  <a:satOff val="0"/>
                  <a:lumOff val="0"/>
                  <a:alphaOff val="0"/>
                </a:sysClr>
              </a:solidFill>
              <a:latin typeface="Calibri" panose="020F0502020204030204"/>
              <a:ea typeface="宋体" panose="02010600030101010101" charset="-122"/>
              <a:cs typeface="+mn-cs"/>
            </a:rPr>
            <a:t>吸盘工具</a:t>
          </a:r>
        </a:p>
      </dgm:t>
    </dgm:pt>
    <dgm:pt modelId="{DBB7E9C0-FCF0-488B-9B19-7E7AB8F54789}" cxnId="{3A6137C6-593F-43DE-8624-45DA4843C320}" type="parTrans">
      <dgm:prSet/>
      <dgm:spPr/>
      <dgm:t>
        <a:bodyPr/>
        <a:p>
          <a:endParaRPr lang="zh-CN" altLang="en-US" sz="1100"/>
        </a:p>
      </dgm:t>
    </dgm:pt>
    <dgm:pt modelId="{A2682CCA-B332-471C-A029-8D8989E89013}" cxnId="{3A6137C6-593F-43DE-8624-45DA4843C320}" type="sibTrans">
      <dgm:prSet/>
      <dgm:spPr/>
      <dgm:t>
        <a:bodyPr/>
        <a:p>
          <a:endParaRPr lang="zh-CN" altLang="en-US" sz="1100"/>
        </a:p>
      </dgm:t>
    </dgm:pt>
    <dgm:pt modelId="{5FCCEFBE-065E-46DA-9003-6CF31EAF22DA}">
      <dgm:prSet phldrT="[文本]" custT="1"/>
      <dgm:spPr>
        <a:xfrm>
          <a:off x="4462341" y="805484"/>
          <a:ext cx="936001" cy="278332"/>
        </a:xfrm>
        <a:prstGeom prst="wedgeRectCallout">
          <a:avLst>
            <a:gd name="adj1" fmla="val 20250"/>
            <a:gd name="adj2" fmla="val -60700"/>
          </a:avLst>
        </a:prstGeom>
        <a:solidFill>
          <a:sysClr val="window" lastClr="FFFFFF">
            <a:hueOff val="0"/>
            <a:satOff val="0"/>
            <a:lumOff val="0"/>
            <a:alphaOff val="0"/>
          </a:sysClr>
        </a:solidFill>
        <a:ln w="12700" cap="flat" cmpd="sng" algn="ctr">
          <a:solidFill>
            <a:srgbClr val="ED7D31">
              <a:shade val="80000"/>
              <a:hueOff val="0"/>
              <a:satOff val="0"/>
              <a:lumOff val="0"/>
              <a:alphaOff val="0"/>
            </a:srgbClr>
          </a:solidFill>
          <a:prstDash val="solid"/>
          <a:miter lim="800000"/>
        </a:ln>
        <a:effectLst/>
      </dgm:spPr>
      <dgm:t>
        <a:bodyPr/>
        <a:p>
          <a:r>
            <a:rPr lang="zh-CN" altLang="en-US" sz="1100">
              <a:solidFill>
                <a:sysClr val="windowText" lastClr="000000">
                  <a:hueOff val="0"/>
                  <a:satOff val="0"/>
                  <a:lumOff val="0"/>
                  <a:alphaOff val="0"/>
                </a:sysClr>
              </a:solidFill>
              <a:latin typeface="Calibri" panose="020F0502020204030204"/>
              <a:ea typeface="宋体" panose="02010600030101010101" charset="-122"/>
              <a:cs typeface="+mn-cs"/>
            </a:rPr>
            <a:t>锁螺丝工具</a:t>
          </a:r>
        </a:p>
      </dgm:t>
    </dgm:pt>
    <dgm:pt modelId="{691A7CF4-70E4-467A-8B50-C0A71F896B1B}" cxnId="{B4B7F83D-16DC-40C1-8196-0E149E9A481A}" type="parTrans">
      <dgm:prSet/>
      <dgm:spPr/>
      <dgm:t>
        <a:bodyPr/>
        <a:p>
          <a:endParaRPr lang="zh-CN" altLang="en-US" sz="1100"/>
        </a:p>
      </dgm:t>
    </dgm:pt>
    <dgm:pt modelId="{57C9BBC6-54CA-413F-96ED-08626EC2912E}" cxnId="{B4B7F83D-16DC-40C1-8196-0E149E9A481A}" type="sibTrans">
      <dgm:prSet/>
      <dgm:spPr/>
      <dgm:t>
        <a:bodyPr/>
        <a:p>
          <a:endParaRPr lang="zh-CN" altLang="en-US" sz="1100"/>
        </a:p>
      </dgm:t>
    </dgm:pt>
    <dgm:pt modelId="{1452ADCA-FB26-453A-9FA9-A54BF0FEB8C7}">
      <dgm:prSet phldrT="[文本]" custT="1"/>
      <dgm:spPr>
        <a:xfrm>
          <a:off x="65468" y="805484"/>
          <a:ext cx="936001" cy="278332"/>
        </a:xfrm>
        <a:prstGeom prst="wedgeRectCallout">
          <a:avLst>
            <a:gd name="adj1" fmla="val 20250"/>
            <a:gd name="adj2" fmla="val -60700"/>
          </a:avLst>
        </a:prstGeom>
        <a:solidFill>
          <a:sysClr val="window" lastClr="FFFFFF">
            <a:hueOff val="0"/>
            <a:satOff val="0"/>
            <a:lumOff val="0"/>
            <a:alphaOff val="0"/>
          </a:sysClr>
        </a:solidFill>
        <a:ln w="12700" cap="flat" cmpd="sng" algn="ctr">
          <a:solidFill>
            <a:srgbClr val="ED7D31">
              <a:shade val="80000"/>
              <a:hueOff val="0"/>
              <a:satOff val="0"/>
              <a:lumOff val="0"/>
              <a:alphaOff val="0"/>
            </a:srgbClr>
          </a:solidFill>
          <a:prstDash val="solid"/>
          <a:miter lim="800000"/>
        </a:ln>
        <a:effectLst/>
      </dgm:spPr>
      <dgm:t>
        <a:bodyPr/>
        <a:p>
          <a:r>
            <a:rPr lang="zh-CN" altLang="en-US" sz="1100">
              <a:solidFill>
                <a:sysClr val="windowText" lastClr="000000">
                  <a:hueOff val="0"/>
                  <a:satOff val="0"/>
                  <a:lumOff val="0"/>
                  <a:alphaOff val="0"/>
                </a:sysClr>
              </a:solidFill>
              <a:latin typeface="Calibri" panose="020F0502020204030204"/>
              <a:ea typeface="宋体" panose="02010600030101010101" charset="-122"/>
              <a:cs typeface="+mn-cs"/>
            </a:rPr>
            <a:t>工具快换系统</a:t>
          </a:r>
        </a:p>
      </dgm:t>
    </dgm:pt>
    <dgm:pt modelId="{541F8D8B-3399-446B-A49D-3A348D2DAC69}" cxnId="{F55EEC62-079A-4ED9-9671-EB16029192F9}" type="parTrans">
      <dgm:prSet/>
      <dgm:spPr/>
      <dgm:t>
        <a:bodyPr/>
        <a:p>
          <a:endParaRPr lang="zh-CN" altLang="en-US" sz="1100"/>
        </a:p>
      </dgm:t>
    </dgm:pt>
    <dgm:pt modelId="{6F303E85-27E5-4FC4-8CB8-E9FB96458D92}" cxnId="{F55EEC62-079A-4ED9-9671-EB16029192F9}" type="sibTrans">
      <dgm:prSet/>
      <dgm:spPr/>
      <dgm:t>
        <a:bodyPr/>
        <a:p>
          <a:endParaRPr lang="zh-CN" altLang="en-US" sz="1100"/>
        </a:p>
      </dgm:t>
    </dgm:pt>
    <dgm:pt modelId="{E42B8907-00E8-455C-916D-C1550193121B}" type="pres">
      <dgm:prSet presAssocID="{7DD44BC8-8DA6-4288-9476-C64992A4B248}" presName="Name0" presStyleCnt="0">
        <dgm:presLayoutVars>
          <dgm:dir/>
          <dgm:resizeHandles val="exact"/>
        </dgm:presLayoutVars>
      </dgm:prSet>
      <dgm:spPr/>
      <dgm:t>
        <a:bodyPr/>
        <a:p>
          <a:endParaRPr lang="zh-CN" altLang="en-US"/>
        </a:p>
      </dgm:t>
    </dgm:pt>
    <dgm:pt modelId="{3E1293BA-5E13-41BB-B569-69BF4CB6052F}" type="pres">
      <dgm:prSet presAssocID="{1452ADCA-FB26-453A-9FA9-A54BF0FEB8C7}" presName="composite" presStyleCnt="0"/>
      <dgm:spPr/>
    </dgm:pt>
    <dgm:pt modelId="{776B0412-7828-48A8-8118-747127AC0C77}" type="pres">
      <dgm:prSet presAssocID="{1452ADCA-FB26-453A-9FA9-A54BF0FEB8C7}" presName="rect1" presStyleLbl="bgImgPlace1" presStyleIdx="0" presStyleCnt="5"/>
      <dgm:spPr>
        <a:xfrm>
          <a:off x="1656" y="89774"/>
          <a:ext cx="994042" cy="795234"/>
        </a:xfrm>
        <a:prstGeom prst="rect">
          <a:avLst/>
        </a:prstGeom>
        <a:blipFill rotWithShape="1">
          <a:blip xmlns:r="http://schemas.openxmlformats.org/officeDocument/2006/relationships" r:embed="rId1"/>
          <a:stretch>
            <a:fillRect/>
          </a:stretch>
        </a:blipFill>
        <a:ln w="12700" cap="flat" cmpd="sng" algn="ctr">
          <a:solidFill>
            <a:srgbClr val="ED7D31">
              <a:shade val="80000"/>
              <a:hueOff val="0"/>
              <a:satOff val="0"/>
              <a:lumOff val="0"/>
              <a:alphaOff val="0"/>
            </a:srgbClr>
          </a:solidFill>
          <a:prstDash val="solid"/>
          <a:miter lim="800000"/>
        </a:ln>
        <a:effectLst/>
      </dgm:spPr>
      <dgm:t>
        <a:bodyPr/>
        <a:p>
          <a:endParaRPr lang="zh-CN" altLang="en-US"/>
        </a:p>
      </dgm:t>
    </dgm:pt>
    <dgm:pt modelId="{C2E7A346-8795-452C-978C-834C855AA814}" type="pres">
      <dgm:prSet presAssocID="{1452ADCA-FB26-453A-9FA9-A54BF0FEB8C7}" presName="wedgeRectCallout1" presStyleLbl="node1" presStyleIdx="0" presStyleCnt="5" custScaleX="105799">
        <dgm:presLayoutVars>
          <dgm:bulletEnabled val="1"/>
        </dgm:presLayoutVars>
      </dgm:prSet>
      <dgm:spPr/>
      <dgm:t>
        <a:bodyPr/>
        <a:p>
          <a:endParaRPr lang="zh-CN" altLang="en-US"/>
        </a:p>
      </dgm:t>
    </dgm:pt>
    <dgm:pt modelId="{5CA5B305-8D59-457B-B280-EB19B5E3C7DC}" type="pres">
      <dgm:prSet presAssocID="{6F303E85-27E5-4FC4-8CB8-E9FB96458D92}" presName="sibTrans" presStyleCnt="0"/>
      <dgm:spPr/>
    </dgm:pt>
    <dgm:pt modelId="{6658C44E-57B8-4C94-A89E-F3F9C9BDA294}" type="pres">
      <dgm:prSet presAssocID="{75CB818A-4DA8-461E-AA4D-1082AD75A915}" presName="composite" presStyleCnt="0"/>
      <dgm:spPr/>
    </dgm:pt>
    <dgm:pt modelId="{0C5AF2C8-DE98-4F51-95CF-6B15E710F3A2}" type="pres">
      <dgm:prSet presAssocID="{75CB818A-4DA8-461E-AA4D-1082AD75A915}" presName="rect1" presStyleLbl="bgImgPlace1" presStyleIdx="1" presStyleCnt="5"/>
      <dgm:spPr>
        <a:xfrm>
          <a:off x="1100874" y="89774"/>
          <a:ext cx="994042" cy="795234"/>
        </a:xfrm>
        <a:prstGeom prst="rect">
          <a:avLst/>
        </a:prstGeom>
        <a:blipFill rotWithShape="1">
          <a:blip xmlns:r="http://schemas.openxmlformats.org/officeDocument/2006/relationships" r:embed="rId2" cstate="print"/>
          <a:stretch>
            <a:fillRect/>
          </a:stretch>
        </a:blipFill>
        <a:ln w="12700" cap="flat" cmpd="sng" algn="ctr">
          <a:solidFill>
            <a:srgbClr val="ED7D31">
              <a:shade val="80000"/>
              <a:hueOff val="0"/>
              <a:satOff val="0"/>
              <a:lumOff val="0"/>
              <a:alphaOff val="0"/>
            </a:srgbClr>
          </a:solidFill>
          <a:prstDash val="solid"/>
          <a:miter lim="800000"/>
        </a:ln>
        <a:effectLst/>
      </dgm:spPr>
      <dgm:t>
        <a:bodyPr/>
        <a:p>
          <a:endParaRPr lang="zh-CN" altLang="en-US"/>
        </a:p>
      </dgm:t>
    </dgm:pt>
    <dgm:pt modelId="{5DA7E615-9758-4959-89A1-C2540BB50DFE}" type="pres">
      <dgm:prSet presAssocID="{75CB818A-4DA8-461E-AA4D-1082AD75A915}" presName="wedgeRectCallout1" presStyleLbl="node1" presStyleIdx="1" presStyleCnt="5" custScaleX="105799">
        <dgm:presLayoutVars>
          <dgm:bulletEnabled val="1"/>
        </dgm:presLayoutVars>
      </dgm:prSet>
      <dgm:spPr/>
      <dgm:t>
        <a:bodyPr/>
        <a:p>
          <a:endParaRPr lang="zh-CN" altLang="en-US"/>
        </a:p>
      </dgm:t>
    </dgm:pt>
    <dgm:pt modelId="{0FF0DFEA-1F23-454C-B0AA-176848B34AE1}" type="pres">
      <dgm:prSet presAssocID="{E6F81C35-BB72-4552-A0F7-68DA3AB350CE}" presName="sibTrans" presStyleCnt="0"/>
      <dgm:spPr/>
    </dgm:pt>
    <dgm:pt modelId="{ECE53A89-7F17-43EB-9131-75FAC3C9C2F7}" type="pres">
      <dgm:prSet presAssocID="{CF497EC0-C91D-4B31-900D-07FEE08198B2}" presName="composite" presStyleCnt="0"/>
      <dgm:spPr/>
    </dgm:pt>
    <dgm:pt modelId="{A16668C2-10ED-4FF0-8012-267BEE2D65D4}" type="pres">
      <dgm:prSet presAssocID="{CF497EC0-C91D-4B31-900D-07FEE08198B2}" presName="rect1" presStyleLbl="bgImgPlace1" presStyleIdx="2" presStyleCnt="5"/>
      <dgm:spPr>
        <a:xfrm>
          <a:off x="2200093" y="89774"/>
          <a:ext cx="994042" cy="795234"/>
        </a:xfrm>
        <a:prstGeom prst="rect">
          <a:avLst/>
        </a:prstGeom>
        <a:blipFill dpi="0" rotWithShape="1">
          <a:blip xmlns:r="http://schemas.openxmlformats.org/officeDocument/2006/relationships" r:embed="rId3" cstate="print"/>
          <a:srcRect/>
          <a:stretch>
            <a:fillRect l="3"/>
          </a:stretch>
        </a:blipFill>
        <a:ln w="12700" cap="flat" cmpd="sng" algn="ctr">
          <a:solidFill>
            <a:srgbClr val="ED7D31">
              <a:shade val="80000"/>
              <a:hueOff val="0"/>
              <a:satOff val="0"/>
              <a:lumOff val="0"/>
              <a:alphaOff val="0"/>
            </a:srgbClr>
          </a:solidFill>
          <a:prstDash val="solid"/>
          <a:miter lim="800000"/>
        </a:ln>
        <a:effectLst/>
      </dgm:spPr>
      <dgm:t>
        <a:bodyPr/>
        <a:p>
          <a:endParaRPr lang="zh-CN" altLang="en-US"/>
        </a:p>
      </dgm:t>
    </dgm:pt>
    <dgm:pt modelId="{F6D409BA-6554-4A4C-87F3-7DA0A3998D9E}" type="pres">
      <dgm:prSet presAssocID="{CF497EC0-C91D-4B31-900D-07FEE08198B2}" presName="wedgeRectCallout1" presStyleLbl="node1" presStyleIdx="2" presStyleCnt="5" custScaleX="105799">
        <dgm:presLayoutVars>
          <dgm:bulletEnabled val="1"/>
        </dgm:presLayoutVars>
      </dgm:prSet>
      <dgm:spPr/>
      <dgm:t>
        <a:bodyPr/>
        <a:p>
          <a:endParaRPr lang="zh-CN" altLang="en-US"/>
        </a:p>
      </dgm:t>
    </dgm:pt>
    <dgm:pt modelId="{64D05824-358F-4283-AE5F-BB8FA1753AF4}" type="pres">
      <dgm:prSet presAssocID="{7A6086E0-9BF5-4EA2-AEB0-E44FD04BD7B5}" presName="sibTrans" presStyleCnt="0"/>
      <dgm:spPr/>
    </dgm:pt>
    <dgm:pt modelId="{03D38553-814F-4822-AD71-247728E1B512}" type="pres">
      <dgm:prSet presAssocID="{F08CE835-00B1-4D87-AA2A-EDFAF6E85E05}" presName="composite" presStyleCnt="0"/>
      <dgm:spPr/>
    </dgm:pt>
    <dgm:pt modelId="{961D1347-DB48-4A60-BA62-9B7255ADC23F}" type="pres">
      <dgm:prSet presAssocID="{F08CE835-00B1-4D87-AA2A-EDFAF6E85E05}" presName="rect1" presStyleLbl="bgImgPlace1" presStyleIdx="3" presStyleCnt="5"/>
      <dgm:spPr>
        <a:xfrm>
          <a:off x="3299311" y="89774"/>
          <a:ext cx="994042" cy="795234"/>
        </a:xfrm>
        <a:prstGeom prst="rect">
          <a:avLst/>
        </a:prstGeom>
        <a:blipFill dpi="0" rotWithShape="1">
          <a:blip xmlns:r="http://schemas.openxmlformats.org/officeDocument/2006/relationships" r:embed="rId4" cstate="print"/>
          <a:srcRect/>
          <a:stretch>
            <a:fillRect r="674"/>
          </a:stretch>
        </a:blipFill>
        <a:ln w="12700" cap="flat" cmpd="sng" algn="ctr">
          <a:solidFill>
            <a:srgbClr val="ED7D31">
              <a:shade val="80000"/>
              <a:hueOff val="0"/>
              <a:satOff val="0"/>
              <a:lumOff val="0"/>
              <a:alphaOff val="0"/>
            </a:srgbClr>
          </a:solidFill>
          <a:prstDash val="solid"/>
          <a:miter lim="800000"/>
        </a:ln>
        <a:effectLst/>
      </dgm:spPr>
      <dgm:t>
        <a:bodyPr/>
        <a:p>
          <a:endParaRPr lang="zh-CN" altLang="en-US"/>
        </a:p>
      </dgm:t>
    </dgm:pt>
    <dgm:pt modelId="{586158D6-55F9-4494-B75D-0CF9AF75CA26}" type="pres">
      <dgm:prSet presAssocID="{F08CE835-00B1-4D87-AA2A-EDFAF6E85E05}" presName="wedgeRectCallout1" presStyleLbl="node1" presStyleIdx="3" presStyleCnt="5" custScaleX="105799">
        <dgm:presLayoutVars>
          <dgm:bulletEnabled val="1"/>
        </dgm:presLayoutVars>
      </dgm:prSet>
      <dgm:spPr/>
      <dgm:t>
        <a:bodyPr/>
        <a:p>
          <a:endParaRPr lang="zh-CN" altLang="en-US"/>
        </a:p>
      </dgm:t>
    </dgm:pt>
    <dgm:pt modelId="{13889779-0A24-4093-A333-F971BEC98B78}" type="pres">
      <dgm:prSet presAssocID="{A2682CCA-B332-471C-A029-8D8989E89013}" presName="sibTrans" presStyleCnt="0"/>
      <dgm:spPr/>
    </dgm:pt>
    <dgm:pt modelId="{B3DF76E6-71A2-483F-AF3A-E9F11E7CA42C}" type="pres">
      <dgm:prSet presAssocID="{5FCCEFBE-065E-46DA-9003-6CF31EAF22DA}" presName="composite" presStyleCnt="0"/>
      <dgm:spPr/>
    </dgm:pt>
    <dgm:pt modelId="{ECD29926-0F99-4DBB-9FE5-E1C8D03F2E09}" type="pres">
      <dgm:prSet presAssocID="{5FCCEFBE-065E-46DA-9003-6CF31EAF22DA}" presName="rect1" presStyleLbl="bgImgPlace1" presStyleIdx="4" presStyleCnt="5"/>
      <dgm:spPr>
        <a:xfrm>
          <a:off x="4398529" y="89774"/>
          <a:ext cx="994042" cy="795234"/>
        </a:xfrm>
        <a:prstGeom prst="rect">
          <a:avLst/>
        </a:prstGeom>
        <a:blipFill dpi="0" rotWithShape="1">
          <a:blip xmlns:r="http://schemas.openxmlformats.org/officeDocument/2006/relationships" r:embed="rId5" cstate="print"/>
          <a:srcRect/>
          <a:stretch>
            <a:fillRect r="512"/>
          </a:stretch>
        </a:blipFill>
        <a:ln w="12700" cap="flat" cmpd="sng" algn="ctr">
          <a:solidFill>
            <a:srgbClr val="ED7D31">
              <a:shade val="80000"/>
              <a:hueOff val="0"/>
              <a:satOff val="0"/>
              <a:lumOff val="0"/>
              <a:alphaOff val="0"/>
            </a:srgbClr>
          </a:solidFill>
          <a:prstDash val="solid"/>
          <a:miter lim="800000"/>
        </a:ln>
        <a:effectLst/>
      </dgm:spPr>
      <dgm:t>
        <a:bodyPr/>
        <a:p>
          <a:endParaRPr lang="zh-CN" altLang="en-US"/>
        </a:p>
      </dgm:t>
    </dgm:pt>
    <dgm:pt modelId="{375713EF-7534-4BAC-8BB1-32FAFE75B9BA}" type="pres">
      <dgm:prSet presAssocID="{5FCCEFBE-065E-46DA-9003-6CF31EAF22DA}" presName="wedgeRectCallout1" presStyleLbl="node1" presStyleIdx="4" presStyleCnt="5" custScaleX="105799">
        <dgm:presLayoutVars>
          <dgm:bulletEnabled val="1"/>
        </dgm:presLayoutVars>
      </dgm:prSet>
      <dgm:spPr/>
      <dgm:t>
        <a:bodyPr/>
        <a:p>
          <a:endParaRPr lang="zh-CN" altLang="en-US"/>
        </a:p>
      </dgm:t>
    </dgm:pt>
  </dgm:ptLst>
  <dgm:cxnLst>
    <dgm:cxn modelId="{06693A2D-6330-4C77-9251-E0835891247C}" type="presOf" srcId="{75CB818A-4DA8-461E-AA4D-1082AD75A915}" destId="{5DA7E615-9758-4959-89A1-C2540BB50DFE}" srcOrd="0" destOrd="0" presId="urn:microsoft.com/office/officeart/2008/layout/BendingPictureCaptionList"/>
    <dgm:cxn modelId="{6207BD10-C10A-4DCB-ABC9-0E360FCE8A79}" srcId="{7DD44BC8-8DA6-4288-9476-C64992A4B248}" destId="{75CB818A-4DA8-461E-AA4D-1082AD75A915}" srcOrd="1" destOrd="0" parTransId="{8BD2C4FC-AA56-4A0D-B8C6-118A19997ED6}" sibTransId="{E6F81C35-BB72-4552-A0F7-68DA3AB350CE}"/>
    <dgm:cxn modelId="{9D5209DA-E187-4BC1-A603-3AF0C479D892}" type="presOf" srcId="{CF497EC0-C91D-4B31-900D-07FEE08198B2}" destId="{F6D409BA-6554-4A4C-87F3-7DA0A3998D9E}" srcOrd="0" destOrd="0" presId="urn:microsoft.com/office/officeart/2008/layout/BendingPictureCaptionList"/>
    <dgm:cxn modelId="{482CC7F5-A3EB-4D15-A68D-E89B7EF96762}" type="presOf" srcId="{1452ADCA-FB26-453A-9FA9-A54BF0FEB8C7}" destId="{C2E7A346-8795-452C-978C-834C855AA814}" srcOrd="0" destOrd="0" presId="urn:microsoft.com/office/officeart/2008/layout/BendingPictureCaptionList"/>
    <dgm:cxn modelId="{F2EEFC21-644A-41D0-B9AE-45B1C34DE81B}" type="presOf" srcId="{F08CE835-00B1-4D87-AA2A-EDFAF6E85E05}" destId="{586158D6-55F9-4494-B75D-0CF9AF75CA26}" srcOrd="0" destOrd="0" presId="urn:microsoft.com/office/officeart/2008/layout/BendingPictureCaptionList"/>
    <dgm:cxn modelId="{438FAE3F-89F3-4811-8300-C5E5C2CE3C7B}" srcId="{7DD44BC8-8DA6-4288-9476-C64992A4B248}" destId="{CF497EC0-C91D-4B31-900D-07FEE08198B2}" srcOrd="2" destOrd="0" parTransId="{8E055D2D-EA29-48E8-AD11-940CE29D9C5C}" sibTransId="{7A6086E0-9BF5-4EA2-AEB0-E44FD04BD7B5}"/>
    <dgm:cxn modelId="{3A6137C6-593F-43DE-8624-45DA4843C320}" srcId="{7DD44BC8-8DA6-4288-9476-C64992A4B248}" destId="{F08CE835-00B1-4D87-AA2A-EDFAF6E85E05}" srcOrd="3" destOrd="0" parTransId="{DBB7E9C0-FCF0-488B-9B19-7E7AB8F54789}" sibTransId="{A2682CCA-B332-471C-A029-8D8989E89013}"/>
    <dgm:cxn modelId="{B4B7F83D-16DC-40C1-8196-0E149E9A481A}" srcId="{7DD44BC8-8DA6-4288-9476-C64992A4B248}" destId="{5FCCEFBE-065E-46DA-9003-6CF31EAF22DA}" srcOrd="4" destOrd="0" parTransId="{691A7CF4-70E4-467A-8B50-C0A71F896B1B}" sibTransId="{57C9BBC6-54CA-413F-96ED-08626EC2912E}"/>
    <dgm:cxn modelId="{F55EEC62-079A-4ED9-9671-EB16029192F9}" srcId="{7DD44BC8-8DA6-4288-9476-C64992A4B248}" destId="{1452ADCA-FB26-453A-9FA9-A54BF0FEB8C7}" srcOrd="0" destOrd="0" parTransId="{541F8D8B-3399-446B-A49D-3A348D2DAC69}" sibTransId="{6F303E85-27E5-4FC4-8CB8-E9FB96458D92}"/>
    <dgm:cxn modelId="{45E991C3-79DB-441A-ACD8-D5478131CB97}" type="presOf" srcId="{5FCCEFBE-065E-46DA-9003-6CF31EAF22DA}" destId="{375713EF-7534-4BAC-8BB1-32FAFE75B9BA}" srcOrd="0" destOrd="0" presId="urn:microsoft.com/office/officeart/2008/layout/BendingPictureCaptionList"/>
    <dgm:cxn modelId="{BDD61A3E-7FC1-41FF-97CA-3CFB3A43F199}" type="presOf" srcId="{7DD44BC8-8DA6-4288-9476-C64992A4B248}" destId="{E42B8907-00E8-455C-916D-C1550193121B}" srcOrd="0" destOrd="0" presId="urn:microsoft.com/office/officeart/2008/layout/BendingPictureCaptionList"/>
    <dgm:cxn modelId="{9E72DE4A-0B20-4884-A415-99191A386868}" type="presParOf" srcId="{E42B8907-00E8-455C-916D-C1550193121B}" destId="{3E1293BA-5E13-41BB-B569-69BF4CB6052F}" srcOrd="0" destOrd="0" presId="urn:microsoft.com/office/officeart/2008/layout/BendingPictureCaptionList"/>
    <dgm:cxn modelId="{55BA0423-E523-488A-9498-EF99094E3C2A}" type="presParOf" srcId="{3E1293BA-5E13-41BB-B569-69BF4CB6052F}" destId="{776B0412-7828-48A8-8118-747127AC0C77}" srcOrd="0" destOrd="0" presId="urn:microsoft.com/office/officeart/2008/layout/BendingPictureCaptionList"/>
    <dgm:cxn modelId="{3F7DB663-1A7F-43DD-A6A6-C4D5B983384D}" type="presParOf" srcId="{3E1293BA-5E13-41BB-B569-69BF4CB6052F}" destId="{C2E7A346-8795-452C-978C-834C855AA814}" srcOrd="1" destOrd="0" presId="urn:microsoft.com/office/officeart/2008/layout/BendingPictureCaptionList"/>
    <dgm:cxn modelId="{22DA531B-E1B0-4641-B6C1-F5362B8A141B}" type="presParOf" srcId="{E42B8907-00E8-455C-916D-C1550193121B}" destId="{5CA5B305-8D59-457B-B280-EB19B5E3C7DC}" srcOrd="1" destOrd="0" presId="urn:microsoft.com/office/officeart/2008/layout/BendingPictureCaptionList"/>
    <dgm:cxn modelId="{F61D75D5-6D36-419F-B07A-F9448475BC6E}" type="presParOf" srcId="{E42B8907-00E8-455C-916D-C1550193121B}" destId="{6658C44E-57B8-4C94-A89E-F3F9C9BDA294}" srcOrd="2" destOrd="0" presId="urn:microsoft.com/office/officeart/2008/layout/BendingPictureCaptionList"/>
    <dgm:cxn modelId="{5A1982E7-8767-4F94-908B-6F07792BE232}" type="presParOf" srcId="{6658C44E-57B8-4C94-A89E-F3F9C9BDA294}" destId="{0C5AF2C8-DE98-4F51-95CF-6B15E710F3A2}" srcOrd="0" destOrd="0" presId="urn:microsoft.com/office/officeart/2008/layout/BendingPictureCaptionList"/>
    <dgm:cxn modelId="{78DE5DD2-C319-4F74-BC7C-940F2DD8F22D}" type="presParOf" srcId="{6658C44E-57B8-4C94-A89E-F3F9C9BDA294}" destId="{5DA7E615-9758-4959-89A1-C2540BB50DFE}" srcOrd="1" destOrd="0" presId="urn:microsoft.com/office/officeart/2008/layout/BendingPictureCaptionList"/>
    <dgm:cxn modelId="{1B77D0E5-29E6-4F13-99E3-606F3555E958}" type="presParOf" srcId="{E42B8907-00E8-455C-916D-C1550193121B}" destId="{0FF0DFEA-1F23-454C-B0AA-176848B34AE1}" srcOrd="3" destOrd="0" presId="urn:microsoft.com/office/officeart/2008/layout/BendingPictureCaptionList"/>
    <dgm:cxn modelId="{DE02F855-0698-435E-B957-00EC24D08FDA}" type="presParOf" srcId="{E42B8907-00E8-455C-916D-C1550193121B}" destId="{ECE53A89-7F17-43EB-9131-75FAC3C9C2F7}" srcOrd="4" destOrd="0" presId="urn:microsoft.com/office/officeart/2008/layout/BendingPictureCaptionList"/>
    <dgm:cxn modelId="{23174EE0-D470-4AB9-9604-7BC0225A80C8}" type="presParOf" srcId="{ECE53A89-7F17-43EB-9131-75FAC3C9C2F7}" destId="{A16668C2-10ED-4FF0-8012-267BEE2D65D4}" srcOrd="0" destOrd="0" presId="urn:microsoft.com/office/officeart/2008/layout/BendingPictureCaptionList"/>
    <dgm:cxn modelId="{5E7C9BCF-3970-4DE1-9B3D-B453B5F0BA46}" type="presParOf" srcId="{ECE53A89-7F17-43EB-9131-75FAC3C9C2F7}" destId="{F6D409BA-6554-4A4C-87F3-7DA0A3998D9E}" srcOrd="1" destOrd="0" presId="urn:microsoft.com/office/officeart/2008/layout/BendingPictureCaptionList"/>
    <dgm:cxn modelId="{3B0CFEA1-6323-4AEB-BFE4-626ED1BA1A6A}" type="presParOf" srcId="{E42B8907-00E8-455C-916D-C1550193121B}" destId="{64D05824-358F-4283-AE5F-BB8FA1753AF4}" srcOrd="5" destOrd="0" presId="urn:microsoft.com/office/officeart/2008/layout/BendingPictureCaptionList"/>
    <dgm:cxn modelId="{94BD9804-97A6-42D1-B72C-88E9C6B8CCFC}" type="presParOf" srcId="{E42B8907-00E8-455C-916D-C1550193121B}" destId="{03D38553-814F-4822-AD71-247728E1B512}" srcOrd="6" destOrd="0" presId="urn:microsoft.com/office/officeart/2008/layout/BendingPictureCaptionList"/>
    <dgm:cxn modelId="{BDC60DF7-EE42-4B47-B495-79ABDE7B9DC9}" type="presParOf" srcId="{03D38553-814F-4822-AD71-247728E1B512}" destId="{961D1347-DB48-4A60-BA62-9B7255ADC23F}" srcOrd="0" destOrd="0" presId="urn:microsoft.com/office/officeart/2008/layout/BendingPictureCaptionList"/>
    <dgm:cxn modelId="{C40BE275-E971-4694-8661-C0B263D551DB}" type="presParOf" srcId="{03D38553-814F-4822-AD71-247728E1B512}" destId="{586158D6-55F9-4494-B75D-0CF9AF75CA26}" srcOrd="1" destOrd="0" presId="urn:microsoft.com/office/officeart/2008/layout/BendingPictureCaptionList"/>
    <dgm:cxn modelId="{6B1D09AC-EDBC-4B6C-99A9-F823B5F864DE}" type="presParOf" srcId="{E42B8907-00E8-455C-916D-C1550193121B}" destId="{13889779-0A24-4093-A333-F971BEC98B78}" srcOrd="7" destOrd="0" presId="urn:microsoft.com/office/officeart/2008/layout/BendingPictureCaptionList"/>
    <dgm:cxn modelId="{3EDC906E-A0E7-434F-9E1B-197FD36F6C9D}" type="presParOf" srcId="{E42B8907-00E8-455C-916D-C1550193121B}" destId="{B3DF76E6-71A2-483F-AF3A-E9F11E7CA42C}" srcOrd="8" destOrd="0" presId="urn:microsoft.com/office/officeart/2008/layout/BendingPictureCaptionList"/>
    <dgm:cxn modelId="{0B9A9625-5711-4998-AE6A-3B173302955B}" type="presParOf" srcId="{B3DF76E6-71A2-483F-AF3A-E9F11E7CA42C}" destId="{ECD29926-0F99-4DBB-9FE5-E1C8D03F2E09}" srcOrd="0" destOrd="0" presId="urn:microsoft.com/office/officeart/2008/layout/BendingPictureCaptionList"/>
    <dgm:cxn modelId="{B76E3B6D-E08D-4712-88B0-00DA5C02C217}" type="presParOf" srcId="{B3DF76E6-71A2-483F-AF3A-E9F11E7CA42C}" destId="{375713EF-7534-4BAC-8BB1-32FAFE75B9BA}" srcOrd="1" destOrd="0" presId="urn:microsoft.com/office/officeart/2008/layout/BendingPictureCaptionList"/>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xmlns:r="http://schemas.openxmlformats.org/officeDocument/2006/relationships">
  <dsp:spTree>
    <dsp:nvGrpSpPr>
      <dsp:cNvPr id="2" name="组合 1"/>
      <dsp:cNvGrpSpPr/>
    </dsp:nvGrpSpPr>
    <dsp:grpSpPr>
      <a:xfrm>
        <a:off x="0" y="0"/>
        <a:ext cx="5399405" cy="1174115"/>
        <a:chOff x="0" y="0"/>
        <a:chExt cx="5399405" cy="1174115"/>
      </a:xfrm>
    </dsp:grpSpPr>
    <dsp:sp modelId="{776B0412-7828-48A8-8118-747127AC0C77}">
      <dsp:nvSpPr>
        <dsp:cNvPr id="3" name="矩形 2"/>
        <dsp:cNvSpPr/>
      </dsp:nvSpPr>
      <dsp:spPr bwMode="white">
        <a:xfrm>
          <a:off x="8964" y="87454"/>
          <a:ext cx="999206" cy="799365"/>
        </a:xfrm>
        <a:prstGeom prst="rect">
          <a:avLst/>
        </a:prstGeom>
        <a:blipFill rotWithShape="1">
          <a:blip r:embed="rId1"/>
          <a:stretch>
            <a:fillRect/>
          </a:stretch>
        </a:blipFill>
        <a:ln w="12700" cap="flat" cmpd="sng" algn="ctr">
          <a:solidFill>
            <a:srgbClr val="ED7D31">
              <a:shade val="80000"/>
              <a:hueOff val="0"/>
              <a:satOff val="0"/>
              <a:lumOff val="0"/>
              <a:alphaOff val="0"/>
            </a:srgbClr>
          </a:solidFill>
          <a:prstDash val="solid"/>
          <a:miter lim="800000"/>
        </a:ln>
        <a:effectLst/>
      </dsp:spPr>
      <dsp:style>
        <a:lnRef idx="2">
          <a:schemeClr val="accent2">
            <a:shade val="80000"/>
          </a:schemeClr>
        </a:lnRef>
        <a:fillRef idx="1">
          <a:schemeClr val="accent2">
            <a:tint val="40000"/>
          </a:schemeClr>
        </a:fillRef>
        <a:effectRef idx="0">
          <a:scrgbClr r="0" g="0" b="0"/>
        </a:effectRef>
        <a:fontRef idx="minor"/>
      </dsp:style>
      <dsp:txXfrm>
        <a:off x="8964" y="87454"/>
        <a:ext cx="999206" cy="799365"/>
      </dsp:txXfrm>
    </dsp:sp>
    <dsp:sp modelId="{C2E7A346-8795-452C-978C-834C855AA814}">
      <dsp:nvSpPr>
        <dsp:cNvPr id="4" name="矩形标注 3"/>
        <dsp:cNvSpPr/>
      </dsp:nvSpPr>
      <dsp:spPr bwMode="white">
        <a:xfrm>
          <a:off x="98892" y="806883"/>
          <a:ext cx="889294" cy="279778"/>
        </a:xfrm>
        <a:prstGeom prst="wedgeRectCallout">
          <a:avLst>
            <a:gd name="adj1" fmla="val 20250"/>
            <a:gd name="adj2" fmla="val -60700"/>
          </a:avLst>
        </a:prstGeom>
        <a:solidFill>
          <a:sysClr val="window" lastClr="FFFFFF">
            <a:hueOff val="0"/>
            <a:satOff val="0"/>
            <a:lumOff val="0"/>
            <a:alphaOff val="0"/>
          </a:sysClr>
        </a:solidFill>
        <a:ln w="12700" cap="flat" cmpd="sng" algn="ctr">
          <a:solidFill>
            <a:srgbClr val="ED7D31">
              <a:shade val="80000"/>
              <a:hueOff val="0"/>
              <a:satOff val="0"/>
              <a:lumOff val="0"/>
              <a:alphaOff val="0"/>
            </a:srgbClr>
          </a:solidFill>
          <a:prstDash val="solid"/>
          <a:miter lim="800000"/>
        </a:ln>
        <a:effectLst/>
      </dsp:spPr>
      <dsp:style>
        <a:lnRef idx="2">
          <a:schemeClr val="accent2">
            <a:shade val="80000"/>
          </a:schemeClr>
        </a:lnRef>
        <a:fillRef idx="1">
          <a:schemeClr val="lt1"/>
        </a:fillRef>
        <a:effectRef idx="0">
          <a:scrgbClr r="0" g="0" b="0"/>
        </a:effectRef>
        <a:fontRef idx="minor">
          <a:schemeClr val="lt1"/>
        </a:fontRef>
      </dsp:style>
      <dsp:txBody>
        <a:bodyPr lIns="41910" tIns="41910" rIns="41910" bIns="41910" anchor="ctr"/>
        <a:lstStyle>
          <a:lvl1pPr algn="ctr">
            <a:defRPr sz="6500"/>
          </a:lvl1pPr>
          <a:lvl2pPr marL="285750" indent="-285750" algn="ctr">
            <a:defRPr sz="5000"/>
          </a:lvl2pPr>
          <a:lvl3pPr marL="571500" indent="-285750" algn="ctr">
            <a:defRPr sz="5000"/>
          </a:lvl3pPr>
          <a:lvl4pPr marL="857250" indent="-285750" algn="ctr">
            <a:defRPr sz="5000"/>
          </a:lvl4pPr>
          <a:lvl5pPr marL="1143000" indent="-285750" algn="ctr">
            <a:defRPr sz="5000"/>
          </a:lvl5pPr>
          <a:lvl6pPr marL="1428750" indent="-285750" algn="ctr">
            <a:defRPr sz="5000"/>
          </a:lvl6pPr>
          <a:lvl7pPr marL="1714500" indent="-285750" algn="ctr">
            <a:defRPr sz="5000"/>
          </a:lvl7pPr>
          <a:lvl8pPr marL="2000250" indent="-285750" algn="ctr">
            <a:defRPr sz="5000"/>
          </a:lvl8pPr>
          <a:lvl9pPr marL="2286000" indent="-285750" algn="ctr">
            <a:defRPr sz="5000"/>
          </a:lvl9pPr>
        </a:lstStyle>
        <a:p>
          <a:pPr lvl="0">
            <a:lnSpc>
              <a:spcPct val="100000"/>
            </a:lnSpc>
            <a:spcBef>
              <a:spcPct val="0"/>
            </a:spcBef>
            <a:spcAft>
              <a:spcPct val="35000"/>
            </a:spcAft>
          </a:pPr>
          <a:r>
            <a:rPr lang="zh-CN" altLang="en-US" sz="1100">
              <a:solidFill>
                <a:sysClr val="windowText" lastClr="000000">
                  <a:hueOff val="0"/>
                  <a:satOff val="0"/>
                  <a:lumOff val="0"/>
                  <a:alphaOff val="0"/>
                </a:sysClr>
              </a:solidFill>
              <a:latin typeface="Calibri" panose="020F0502020204030204"/>
              <a:ea typeface="宋体" panose="02010600030101010101" charset="-122"/>
              <a:cs typeface="+mn-cs"/>
            </a:rPr>
            <a:t>工具快换系统</a:t>
          </a:r>
          <a:endParaRPr>
            <a:solidFill>
              <a:schemeClr val="dk1"/>
            </a:solidFill>
          </a:endParaRPr>
        </a:p>
      </dsp:txBody>
      <dsp:txXfrm>
        <a:off x="98892" y="806883"/>
        <a:ext cx="889294" cy="279778"/>
      </dsp:txXfrm>
    </dsp:sp>
    <dsp:sp modelId="{0C5AF2C8-DE98-4F51-95CF-6B15E710F3A2}">
      <dsp:nvSpPr>
        <dsp:cNvPr id="5" name="矩形 4"/>
        <dsp:cNvSpPr/>
      </dsp:nvSpPr>
      <dsp:spPr bwMode="white">
        <a:xfrm>
          <a:off x="1108091" y="87454"/>
          <a:ext cx="999206" cy="799365"/>
        </a:xfrm>
        <a:prstGeom prst="rect">
          <a:avLst/>
        </a:prstGeom>
        <a:blipFill rotWithShape="1">
          <a:blip r:embed="rId2" cstate="print"/>
          <a:stretch>
            <a:fillRect/>
          </a:stretch>
        </a:blipFill>
        <a:ln w="12700" cap="flat" cmpd="sng" algn="ctr">
          <a:solidFill>
            <a:srgbClr val="ED7D31">
              <a:shade val="80000"/>
              <a:hueOff val="0"/>
              <a:satOff val="0"/>
              <a:lumOff val="0"/>
              <a:alphaOff val="0"/>
            </a:srgbClr>
          </a:solidFill>
          <a:prstDash val="solid"/>
          <a:miter lim="800000"/>
        </a:ln>
        <a:effectLst/>
      </dsp:spPr>
      <dsp:style>
        <a:lnRef idx="2">
          <a:schemeClr val="accent2">
            <a:shade val="80000"/>
          </a:schemeClr>
        </a:lnRef>
        <a:fillRef idx="1">
          <a:schemeClr val="accent2">
            <a:tint val="40000"/>
          </a:schemeClr>
        </a:fillRef>
        <a:effectRef idx="0">
          <a:scrgbClr r="0" g="0" b="0"/>
        </a:effectRef>
        <a:fontRef idx="minor"/>
      </dsp:style>
      <dsp:txXfrm>
        <a:off x="1108091" y="87454"/>
        <a:ext cx="999206" cy="799365"/>
      </dsp:txXfrm>
    </dsp:sp>
    <dsp:sp modelId="{5DA7E615-9758-4959-89A1-C2540BB50DFE}">
      <dsp:nvSpPr>
        <dsp:cNvPr id="6" name="矩形标注 5"/>
        <dsp:cNvSpPr/>
      </dsp:nvSpPr>
      <dsp:spPr bwMode="white">
        <a:xfrm>
          <a:off x="1198019" y="806883"/>
          <a:ext cx="889294" cy="279778"/>
        </a:xfrm>
        <a:prstGeom prst="wedgeRectCallout">
          <a:avLst>
            <a:gd name="adj1" fmla="val 20250"/>
            <a:gd name="adj2" fmla="val -60700"/>
          </a:avLst>
        </a:prstGeom>
        <a:solidFill>
          <a:sysClr val="window" lastClr="FFFFFF">
            <a:hueOff val="0"/>
            <a:satOff val="0"/>
            <a:lumOff val="0"/>
            <a:alphaOff val="0"/>
          </a:sysClr>
        </a:solidFill>
        <a:ln w="12700" cap="flat" cmpd="sng" algn="ctr">
          <a:solidFill>
            <a:srgbClr val="ED7D31">
              <a:shade val="80000"/>
              <a:hueOff val="0"/>
              <a:satOff val="0"/>
              <a:lumOff val="0"/>
              <a:alphaOff val="0"/>
            </a:srgbClr>
          </a:solidFill>
          <a:prstDash val="solid"/>
          <a:miter lim="800000"/>
        </a:ln>
        <a:effectLst/>
      </dsp:spPr>
      <dsp:style>
        <a:lnRef idx="2">
          <a:schemeClr val="accent2">
            <a:shade val="80000"/>
          </a:schemeClr>
        </a:lnRef>
        <a:fillRef idx="1">
          <a:schemeClr val="lt1"/>
        </a:fillRef>
        <a:effectRef idx="0">
          <a:scrgbClr r="0" g="0" b="0"/>
        </a:effectRef>
        <a:fontRef idx="minor">
          <a:schemeClr val="lt1"/>
        </a:fontRef>
      </dsp:style>
      <dsp:txBody>
        <a:bodyPr lIns="41910" tIns="41910" rIns="41910" bIns="41910" anchor="ctr"/>
        <a:lstStyle>
          <a:lvl1pPr algn="ctr">
            <a:defRPr sz="6500"/>
          </a:lvl1pPr>
          <a:lvl2pPr marL="285750" indent="-285750" algn="ctr">
            <a:defRPr sz="5000"/>
          </a:lvl2pPr>
          <a:lvl3pPr marL="571500" indent="-285750" algn="ctr">
            <a:defRPr sz="5000"/>
          </a:lvl3pPr>
          <a:lvl4pPr marL="857250" indent="-285750" algn="ctr">
            <a:defRPr sz="5000"/>
          </a:lvl4pPr>
          <a:lvl5pPr marL="1143000" indent="-285750" algn="ctr">
            <a:defRPr sz="5000"/>
          </a:lvl5pPr>
          <a:lvl6pPr marL="1428750" indent="-285750" algn="ctr">
            <a:defRPr sz="5000"/>
          </a:lvl6pPr>
          <a:lvl7pPr marL="1714500" indent="-285750" algn="ctr">
            <a:defRPr sz="5000"/>
          </a:lvl7pPr>
          <a:lvl8pPr marL="2000250" indent="-285750" algn="ctr">
            <a:defRPr sz="5000"/>
          </a:lvl8pPr>
          <a:lvl9pPr marL="2286000" indent="-285750" algn="ctr">
            <a:defRPr sz="5000"/>
          </a:lvl9pPr>
        </a:lstStyle>
        <a:p>
          <a:pPr lvl="0">
            <a:lnSpc>
              <a:spcPct val="100000"/>
            </a:lnSpc>
            <a:spcBef>
              <a:spcPct val="0"/>
            </a:spcBef>
            <a:spcAft>
              <a:spcPct val="35000"/>
            </a:spcAft>
          </a:pPr>
          <a:r>
            <a:rPr lang="zh-CN" altLang="en-US" sz="1100">
              <a:solidFill>
                <a:sysClr val="windowText" lastClr="000000">
                  <a:hueOff val="0"/>
                  <a:satOff val="0"/>
                  <a:lumOff val="0"/>
                  <a:alphaOff val="0"/>
                </a:sysClr>
              </a:solidFill>
              <a:latin typeface="Calibri" panose="020F0502020204030204"/>
              <a:ea typeface="宋体" panose="02010600030101010101" charset="-122"/>
              <a:cs typeface="+mn-cs"/>
            </a:rPr>
            <a:t>涂胶工具</a:t>
          </a:r>
          <a:endParaRPr>
            <a:solidFill>
              <a:schemeClr val="dk1"/>
            </a:solidFill>
          </a:endParaRPr>
        </a:p>
      </dsp:txBody>
      <dsp:txXfrm>
        <a:off x="1198019" y="806883"/>
        <a:ext cx="889294" cy="279778"/>
      </dsp:txXfrm>
    </dsp:sp>
    <dsp:sp modelId="{A16668C2-10ED-4FF0-8012-267BEE2D65D4}">
      <dsp:nvSpPr>
        <dsp:cNvPr id="7" name="矩形 6"/>
        <dsp:cNvSpPr/>
      </dsp:nvSpPr>
      <dsp:spPr bwMode="white">
        <a:xfrm>
          <a:off x="2207218" y="87454"/>
          <a:ext cx="999206" cy="799365"/>
        </a:xfrm>
        <a:prstGeom prst="rect">
          <a:avLst/>
        </a:prstGeom>
        <a:blipFill dpi="0" rotWithShape="1">
          <a:blip r:embed="rId3" cstate="print"/>
          <a:srcRect/>
          <a:stretch>
            <a:fillRect l="3"/>
          </a:stretch>
        </a:blipFill>
        <a:ln w="12700" cap="flat" cmpd="sng" algn="ctr">
          <a:solidFill>
            <a:srgbClr val="ED7D31">
              <a:shade val="80000"/>
              <a:hueOff val="0"/>
              <a:satOff val="0"/>
              <a:lumOff val="0"/>
              <a:alphaOff val="0"/>
            </a:srgbClr>
          </a:solidFill>
          <a:prstDash val="solid"/>
          <a:miter lim="800000"/>
        </a:ln>
        <a:effectLst/>
      </dsp:spPr>
      <dsp:style>
        <a:lnRef idx="2">
          <a:schemeClr val="accent2">
            <a:shade val="80000"/>
          </a:schemeClr>
        </a:lnRef>
        <a:fillRef idx="1">
          <a:schemeClr val="accent2">
            <a:tint val="40000"/>
          </a:schemeClr>
        </a:fillRef>
        <a:effectRef idx="0">
          <a:scrgbClr r="0" g="0" b="0"/>
        </a:effectRef>
        <a:fontRef idx="minor"/>
      </dsp:style>
      <dsp:txXfrm>
        <a:off x="2207218" y="87454"/>
        <a:ext cx="999206" cy="799365"/>
      </dsp:txXfrm>
    </dsp:sp>
    <dsp:sp modelId="{F6D409BA-6554-4A4C-87F3-7DA0A3998D9E}">
      <dsp:nvSpPr>
        <dsp:cNvPr id="8" name="矩形标注 7"/>
        <dsp:cNvSpPr/>
      </dsp:nvSpPr>
      <dsp:spPr bwMode="white">
        <a:xfrm>
          <a:off x="2297146" y="806883"/>
          <a:ext cx="889294" cy="279778"/>
        </a:xfrm>
        <a:prstGeom prst="wedgeRectCallout">
          <a:avLst>
            <a:gd name="adj1" fmla="val 20250"/>
            <a:gd name="adj2" fmla="val -60700"/>
          </a:avLst>
        </a:prstGeom>
        <a:solidFill>
          <a:sysClr val="window" lastClr="FFFFFF">
            <a:hueOff val="0"/>
            <a:satOff val="0"/>
            <a:lumOff val="0"/>
            <a:alphaOff val="0"/>
          </a:sysClr>
        </a:solidFill>
        <a:ln w="12700" cap="flat" cmpd="sng" algn="ctr">
          <a:solidFill>
            <a:srgbClr val="ED7D31">
              <a:shade val="80000"/>
              <a:hueOff val="0"/>
              <a:satOff val="0"/>
              <a:lumOff val="0"/>
              <a:alphaOff val="0"/>
            </a:srgbClr>
          </a:solidFill>
          <a:prstDash val="solid"/>
          <a:miter lim="800000"/>
        </a:ln>
        <a:effectLst/>
      </dsp:spPr>
      <dsp:style>
        <a:lnRef idx="2">
          <a:schemeClr val="accent2">
            <a:shade val="80000"/>
          </a:schemeClr>
        </a:lnRef>
        <a:fillRef idx="1">
          <a:schemeClr val="lt1"/>
        </a:fillRef>
        <a:effectRef idx="0">
          <a:scrgbClr r="0" g="0" b="0"/>
        </a:effectRef>
        <a:fontRef idx="minor">
          <a:schemeClr val="lt1"/>
        </a:fontRef>
      </dsp:style>
      <dsp:txBody>
        <a:bodyPr lIns="41910" tIns="41910" rIns="41910" bIns="41910" anchor="ctr"/>
        <a:lstStyle>
          <a:lvl1pPr algn="ctr">
            <a:defRPr sz="6500"/>
          </a:lvl1pPr>
          <a:lvl2pPr marL="285750" indent="-285750" algn="ctr">
            <a:defRPr sz="5000"/>
          </a:lvl2pPr>
          <a:lvl3pPr marL="571500" indent="-285750" algn="ctr">
            <a:defRPr sz="5000"/>
          </a:lvl3pPr>
          <a:lvl4pPr marL="857250" indent="-285750" algn="ctr">
            <a:defRPr sz="5000"/>
          </a:lvl4pPr>
          <a:lvl5pPr marL="1143000" indent="-285750" algn="ctr">
            <a:defRPr sz="5000"/>
          </a:lvl5pPr>
          <a:lvl6pPr marL="1428750" indent="-285750" algn="ctr">
            <a:defRPr sz="5000"/>
          </a:lvl6pPr>
          <a:lvl7pPr marL="1714500" indent="-285750" algn="ctr">
            <a:defRPr sz="5000"/>
          </a:lvl7pPr>
          <a:lvl8pPr marL="2000250" indent="-285750" algn="ctr">
            <a:defRPr sz="5000"/>
          </a:lvl8pPr>
          <a:lvl9pPr marL="2286000" indent="-285750" algn="ctr">
            <a:defRPr sz="5000"/>
          </a:lvl9pPr>
        </a:lstStyle>
        <a:p>
          <a:pPr lvl="0">
            <a:lnSpc>
              <a:spcPct val="100000"/>
            </a:lnSpc>
            <a:spcBef>
              <a:spcPct val="0"/>
            </a:spcBef>
            <a:spcAft>
              <a:spcPct val="35000"/>
            </a:spcAft>
          </a:pPr>
          <a:r>
            <a:rPr lang="zh-CN" altLang="en-US" sz="1100">
              <a:solidFill>
                <a:sysClr val="windowText" lastClr="000000">
                  <a:hueOff val="0"/>
                  <a:satOff val="0"/>
                  <a:lumOff val="0"/>
                  <a:alphaOff val="0"/>
                </a:sysClr>
              </a:solidFill>
              <a:latin typeface="Calibri" panose="020F0502020204030204"/>
              <a:ea typeface="宋体" panose="02010600030101010101" charset="-122"/>
              <a:cs typeface="+mn-cs"/>
            </a:rPr>
            <a:t>夹爪工具</a:t>
          </a:r>
          <a:endParaRPr>
            <a:solidFill>
              <a:schemeClr val="dk1"/>
            </a:solidFill>
          </a:endParaRPr>
        </a:p>
      </dsp:txBody>
      <dsp:txXfrm>
        <a:off x="2297146" y="806883"/>
        <a:ext cx="889294" cy="279778"/>
      </dsp:txXfrm>
    </dsp:sp>
    <dsp:sp modelId="{961D1347-DB48-4A60-BA62-9B7255ADC23F}">
      <dsp:nvSpPr>
        <dsp:cNvPr id="9" name="矩形 8"/>
        <dsp:cNvSpPr/>
      </dsp:nvSpPr>
      <dsp:spPr bwMode="white">
        <a:xfrm>
          <a:off x="3306345" y="87454"/>
          <a:ext cx="999206" cy="799365"/>
        </a:xfrm>
        <a:prstGeom prst="rect">
          <a:avLst/>
        </a:prstGeom>
        <a:blipFill dpi="0" rotWithShape="1">
          <a:blip r:embed="rId4" cstate="print"/>
          <a:srcRect/>
          <a:stretch>
            <a:fillRect r="674"/>
          </a:stretch>
        </a:blipFill>
        <a:ln w="12700" cap="flat" cmpd="sng" algn="ctr">
          <a:solidFill>
            <a:srgbClr val="ED7D31">
              <a:shade val="80000"/>
              <a:hueOff val="0"/>
              <a:satOff val="0"/>
              <a:lumOff val="0"/>
              <a:alphaOff val="0"/>
            </a:srgbClr>
          </a:solidFill>
          <a:prstDash val="solid"/>
          <a:miter lim="800000"/>
        </a:ln>
        <a:effectLst/>
      </dsp:spPr>
      <dsp:style>
        <a:lnRef idx="2">
          <a:schemeClr val="accent2">
            <a:shade val="80000"/>
          </a:schemeClr>
        </a:lnRef>
        <a:fillRef idx="1">
          <a:schemeClr val="accent2">
            <a:tint val="40000"/>
          </a:schemeClr>
        </a:fillRef>
        <a:effectRef idx="0">
          <a:scrgbClr r="0" g="0" b="0"/>
        </a:effectRef>
        <a:fontRef idx="minor"/>
      </dsp:style>
      <dsp:txXfrm>
        <a:off x="3306345" y="87454"/>
        <a:ext cx="999206" cy="799365"/>
      </dsp:txXfrm>
    </dsp:sp>
    <dsp:sp modelId="{586158D6-55F9-4494-B75D-0CF9AF75CA26}">
      <dsp:nvSpPr>
        <dsp:cNvPr id="10" name="矩形标注 9"/>
        <dsp:cNvSpPr/>
      </dsp:nvSpPr>
      <dsp:spPr bwMode="white">
        <a:xfrm>
          <a:off x="3396273" y="806883"/>
          <a:ext cx="889294" cy="279778"/>
        </a:xfrm>
        <a:prstGeom prst="wedgeRectCallout">
          <a:avLst>
            <a:gd name="adj1" fmla="val 20250"/>
            <a:gd name="adj2" fmla="val -60700"/>
          </a:avLst>
        </a:prstGeom>
        <a:solidFill>
          <a:sysClr val="window" lastClr="FFFFFF">
            <a:hueOff val="0"/>
            <a:satOff val="0"/>
            <a:lumOff val="0"/>
            <a:alphaOff val="0"/>
          </a:sysClr>
        </a:solidFill>
        <a:ln w="12700" cap="flat" cmpd="sng" algn="ctr">
          <a:solidFill>
            <a:srgbClr val="ED7D31">
              <a:shade val="80000"/>
              <a:hueOff val="0"/>
              <a:satOff val="0"/>
              <a:lumOff val="0"/>
              <a:alphaOff val="0"/>
            </a:srgbClr>
          </a:solidFill>
          <a:prstDash val="solid"/>
          <a:miter lim="800000"/>
        </a:ln>
        <a:effectLst/>
      </dsp:spPr>
      <dsp:style>
        <a:lnRef idx="2">
          <a:schemeClr val="accent2">
            <a:shade val="80000"/>
          </a:schemeClr>
        </a:lnRef>
        <a:fillRef idx="1">
          <a:schemeClr val="lt1"/>
        </a:fillRef>
        <a:effectRef idx="0">
          <a:scrgbClr r="0" g="0" b="0"/>
        </a:effectRef>
        <a:fontRef idx="minor">
          <a:schemeClr val="lt1"/>
        </a:fontRef>
      </dsp:style>
      <dsp:txBody>
        <a:bodyPr lIns="41910" tIns="41910" rIns="41910" bIns="41910" anchor="ctr"/>
        <a:lstStyle>
          <a:lvl1pPr algn="ctr">
            <a:defRPr sz="6500"/>
          </a:lvl1pPr>
          <a:lvl2pPr marL="285750" indent="-285750" algn="ctr">
            <a:defRPr sz="5000"/>
          </a:lvl2pPr>
          <a:lvl3pPr marL="571500" indent="-285750" algn="ctr">
            <a:defRPr sz="5000"/>
          </a:lvl3pPr>
          <a:lvl4pPr marL="857250" indent="-285750" algn="ctr">
            <a:defRPr sz="5000"/>
          </a:lvl4pPr>
          <a:lvl5pPr marL="1143000" indent="-285750" algn="ctr">
            <a:defRPr sz="5000"/>
          </a:lvl5pPr>
          <a:lvl6pPr marL="1428750" indent="-285750" algn="ctr">
            <a:defRPr sz="5000"/>
          </a:lvl6pPr>
          <a:lvl7pPr marL="1714500" indent="-285750" algn="ctr">
            <a:defRPr sz="5000"/>
          </a:lvl7pPr>
          <a:lvl8pPr marL="2000250" indent="-285750" algn="ctr">
            <a:defRPr sz="5000"/>
          </a:lvl8pPr>
          <a:lvl9pPr marL="2286000" indent="-285750" algn="ctr">
            <a:defRPr sz="5000"/>
          </a:lvl9pPr>
        </a:lstStyle>
        <a:p>
          <a:pPr lvl="0">
            <a:lnSpc>
              <a:spcPct val="100000"/>
            </a:lnSpc>
            <a:spcBef>
              <a:spcPct val="0"/>
            </a:spcBef>
            <a:spcAft>
              <a:spcPct val="35000"/>
            </a:spcAft>
          </a:pPr>
          <a:r>
            <a:rPr lang="zh-CN" altLang="en-US" sz="1100">
              <a:solidFill>
                <a:sysClr val="windowText" lastClr="000000">
                  <a:hueOff val="0"/>
                  <a:satOff val="0"/>
                  <a:lumOff val="0"/>
                  <a:alphaOff val="0"/>
                </a:sysClr>
              </a:solidFill>
              <a:latin typeface="Calibri" panose="020F0502020204030204"/>
              <a:ea typeface="宋体" panose="02010600030101010101" charset="-122"/>
              <a:cs typeface="+mn-cs"/>
            </a:rPr>
            <a:t>吸盘工具</a:t>
          </a:r>
          <a:endParaRPr>
            <a:solidFill>
              <a:schemeClr val="dk1"/>
            </a:solidFill>
          </a:endParaRPr>
        </a:p>
      </dsp:txBody>
      <dsp:txXfrm>
        <a:off x="3396273" y="806883"/>
        <a:ext cx="889294" cy="279778"/>
      </dsp:txXfrm>
    </dsp:sp>
    <dsp:sp modelId="{ECD29926-0F99-4DBB-9FE5-E1C8D03F2E09}">
      <dsp:nvSpPr>
        <dsp:cNvPr id="11" name="矩形 10"/>
        <dsp:cNvSpPr/>
      </dsp:nvSpPr>
      <dsp:spPr bwMode="white">
        <a:xfrm>
          <a:off x="4405472" y="87454"/>
          <a:ext cx="999206" cy="799365"/>
        </a:xfrm>
        <a:prstGeom prst="rect">
          <a:avLst/>
        </a:prstGeom>
        <a:blipFill dpi="0" rotWithShape="1">
          <a:blip r:embed="rId5" cstate="print"/>
          <a:srcRect/>
          <a:stretch>
            <a:fillRect r="512"/>
          </a:stretch>
        </a:blipFill>
        <a:ln w="12700" cap="flat" cmpd="sng" algn="ctr">
          <a:solidFill>
            <a:srgbClr val="ED7D31">
              <a:shade val="80000"/>
              <a:hueOff val="0"/>
              <a:satOff val="0"/>
              <a:lumOff val="0"/>
              <a:alphaOff val="0"/>
            </a:srgbClr>
          </a:solidFill>
          <a:prstDash val="solid"/>
          <a:miter lim="800000"/>
        </a:ln>
        <a:effectLst/>
      </dsp:spPr>
      <dsp:style>
        <a:lnRef idx="2">
          <a:schemeClr val="accent2">
            <a:shade val="80000"/>
          </a:schemeClr>
        </a:lnRef>
        <a:fillRef idx="1">
          <a:schemeClr val="accent2">
            <a:tint val="40000"/>
          </a:schemeClr>
        </a:fillRef>
        <a:effectRef idx="0">
          <a:scrgbClr r="0" g="0" b="0"/>
        </a:effectRef>
        <a:fontRef idx="minor"/>
      </dsp:style>
      <dsp:txXfrm>
        <a:off x="4405472" y="87454"/>
        <a:ext cx="999206" cy="799365"/>
      </dsp:txXfrm>
    </dsp:sp>
    <dsp:sp modelId="{375713EF-7534-4BAC-8BB1-32FAFE75B9BA}">
      <dsp:nvSpPr>
        <dsp:cNvPr id="12" name="矩形标注 11"/>
        <dsp:cNvSpPr/>
      </dsp:nvSpPr>
      <dsp:spPr bwMode="white">
        <a:xfrm>
          <a:off x="4495400" y="806883"/>
          <a:ext cx="889294" cy="279778"/>
        </a:xfrm>
        <a:prstGeom prst="wedgeRectCallout">
          <a:avLst>
            <a:gd name="adj1" fmla="val 20250"/>
            <a:gd name="adj2" fmla="val -60700"/>
          </a:avLst>
        </a:prstGeom>
        <a:solidFill>
          <a:sysClr val="window" lastClr="FFFFFF">
            <a:hueOff val="0"/>
            <a:satOff val="0"/>
            <a:lumOff val="0"/>
            <a:alphaOff val="0"/>
          </a:sysClr>
        </a:solidFill>
        <a:ln w="12700" cap="flat" cmpd="sng" algn="ctr">
          <a:solidFill>
            <a:srgbClr val="ED7D31">
              <a:shade val="80000"/>
              <a:hueOff val="0"/>
              <a:satOff val="0"/>
              <a:lumOff val="0"/>
              <a:alphaOff val="0"/>
            </a:srgbClr>
          </a:solidFill>
          <a:prstDash val="solid"/>
          <a:miter lim="800000"/>
        </a:ln>
        <a:effectLst/>
      </dsp:spPr>
      <dsp:style>
        <a:lnRef idx="2">
          <a:schemeClr val="accent2">
            <a:shade val="80000"/>
          </a:schemeClr>
        </a:lnRef>
        <a:fillRef idx="1">
          <a:schemeClr val="lt1"/>
        </a:fillRef>
        <a:effectRef idx="0">
          <a:scrgbClr r="0" g="0" b="0"/>
        </a:effectRef>
        <a:fontRef idx="minor">
          <a:schemeClr val="lt1"/>
        </a:fontRef>
      </dsp:style>
      <dsp:txBody>
        <a:bodyPr lIns="41910" tIns="41910" rIns="41910" bIns="41910" anchor="ctr"/>
        <a:lstStyle>
          <a:lvl1pPr algn="ctr">
            <a:defRPr sz="6500"/>
          </a:lvl1pPr>
          <a:lvl2pPr marL="285750" indent="-285750" algn="ctr">
            <a:defRPr sz="5000"/>
          </a:lvl2pPr>
          <a:lvl3pPr marL="571500" indent="-285750" algn="ctr">
            <a:defRPr sz="5000"/>
          </a:lvl3pPr>
          <a:lvl4pPr marL="857250" indent="-285750" algn="ctr">
            <a:defRPr sz="5000"/>
          </a:lvl4pPr>
          <a:lvl5pPr marL="1143000" indent="-285750" algn="ctr">
            <a:defRPr sz="5000"/>
          </a:lvl5pPr>
          <a:lvl6pPr marL="1428750" indent="-285750" algn="ctr">
            <a:defRPr sz="5000"/>
          </a:lvl6pPr>
          <a:lvl7pPr marL="1714500" indent="-285750" algn="ctr">
            <a:defRPr sz="5000"/>
          </a:lvl7pPr>
          <a:lvl8pPr marL="2000250" indent="-285750" algn="ctr">
            <a:defRPr sz="5000"/>
          </a:lvl8pPr>
          <a:lvl9pPr marL="2286000" indent="-285750" algn="ctr">
            <a:defRPr sz="5000"/>
          </a:lvl9pPr>
        </a:lstStyle>
        <a:p>
          <a:pPr lvl="0">
            <a:lnSpc>
              <a:spcPct val="100000"/>
            </a:lnSpc>
            <a:spcBef>
              <a:spcPct val="0"/>
            </a:spcBef>
            <a:spcAft>
              <a:spcPct val="35000"/>
            </a:spcAft>
          </a:pPr>
          <a:r>
            <a:rPr lang="zh-CN" altLang="en-US" sz="1100">
              <a:solidFill>
                <a:sysClr val="windowText" lastClr="000000">
                  <a:hueOff val="0"/>
                  <a:satOff val="0"/>
                  <a:lumOff val="0"/>
                  <a:alphaOff val="0"/>
                </a:sysClr>
              </a:solidFill>
              <a:latin typeface="Calibri" panose="020F0502020204030204"/>
              <a:ea typeface="宋体" panose="02010600030101010101" charset="-122"/>
              <a:cs typeface="+mn-cs"/>
            </a:rPr>
            <a:t>锁螺丝工具</a:t>
          </a:r>
          <a:endParaRPr>
            <a:solidFill>
              <a:schemeClr val="dk1"/>
            </a:solidFill>
          </a:endParaRPr>
        </a:p>
      </dsp:txBody>
      <dsp:txXfrm>
        <a:off x="4495400" y="806883"/>
        <a:ext cx="889294" cy="279778"/>
      </dsp:txXfrm>
    </dsp:sp>
  </dsp:spTree>
</dsp:drawing>
</file>

<file path=word/diagrams/layout1.xml><?xml version="1.0" encoding="utf-8"?>
<dgm:layoutDef xmlns:dgm="http://schemas.openxmlformats.org/drawingml/2006/diagram" xmlns:a="http://schemas.openxmlformats.org/drawingml/2006/main" uniqueId="urn:microsoft.com/office/officeart/2008/layout/BendingPictureCaptionList">
  <dgm:title val=""/>
  <dgm:desc val=""/>
  <dgm:catLst>
    <dgm:cat type="picture" pri="9000"/>
    <dgm:cat type="pictureconvert" pri="9000"/>
  </dgm:catLst>
  <dgm:sampData>
    <dgm:dataModel>
      <dgm:ptLst>
        <dgm:pt modelId="0" type="doc"/>
        <dgm:pt modelId="10">
          <dgm:prSet phldr="1"/>
        </dgm:pt>
        <dgm:pt modelId="20">
          <dgm:prSet phldr="1"/>
        </dgm:pt>
        <dgm:pt modelId="30">
          <dgm:prSet phldr="1"/>
        </dgm:pt>
      </dgm:ptLst>
      <dgm:cxnLst>
        <dgm:cxn modelId="60" srcId="0" destId="10" srcOrd="0" destOrd="0"/>
        <dgm:cxn modelId="70" srcId="0" destId="20" srcOrd="1" destOrd="0"/>
        <dgm:cxn modelId="80" srcId="0" destId="30" srcOrd="2"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Name0">
    <dgm:varLst>
      <dgm:dir/>
      <dgm:resizeHandles val="exact"/>
    </dgm:varLst>
    <dgm:choose name="Name1">
      <dgm:if name="Name2" func="var" arg="dir" op="equ" val="norm">
        <dgm:alg type="snake">
          <dgm:param type="off" val="ctr"/>
        </dgm:alg>
      </dgm:if>
      <dgm:else name="Name3">
        <dgm:alg type="snake">
          <dgm:param type="off" val="ctr"/>
          <dgm:param type="grDir" val="tR"/>
        </dgm:alg>
      </dgm:else>
    </dgm:choose>
    <dgm:shape xmlns:r="http://schemas.openxmlformats.org/officeDocument/2006/relationships" r:blip="">
      <dgm:adjLst/>
    </dgm:shape>
    <dgm:constrLst>
      <dgm:constr type="primFontSz" for="des" ptType="node" op="equ" val="65"/>
      <dgm:constr type="w" for="ch" forName="composite" refType="w"/>
      <dgm:constr type="h" for="ch" forName="composite" refType="w" fact="1.11"/>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alg type="composite">
          <dgm:param type="ar" val="1"/>
        </dgm:alg>
        <dgm:shape xmlns:r="http://schemas.openxmlformats.org/officeDocument/2006/relationships" r:blip="">
          <dgm:adjLst/>
        </dgm:shape>
        <dgm:choose name="Name4">
          <dgm:if name="Name5" func="var" arg="dir" op="equ" val="norm">
            <dgm:constrLst>
              <dgm:constr type="l" for="ch" forName="rect1" refType="w" fact="0"/>
              <dgm:constr type="t" for="ch" forName="rect1" refType="h" fact="0"/>
              <dgm:constr type="w" for="ch" forName="rect1" refType="w"/>
              <dgm:constr type="h" for="ch" forName="rect1" refType="h" fact="0.8"/>
              <dgm:constr type="l" for="ch" forName="wedgeRectCallout1" refType="w" fact="0.09"/>
              <dgm:constr type="t" for="ch" forName="wedgeRectCallout1" refType="h" fact="0.72"/>
              <dgm:constr type="w" for="ch" forName="wedgeRectCallout1" refType="w" fact="0.89"/>
              <dgm:constr type="h" for="ch" forName="wedgeRectCallout1" refType="h" fact="0.28"/>
            </dgm:constrLst>
          </dgm:if>
          <dgm:else name="Name6">
            <dgm:constrLst>
              <dgm:constr type="l" for="ch" forName="rect1" refType="w" fact="0"/>
              <dgm:constr type="t" for="ch" forName="rect1" refType="h" fact="0"/>
              <dgm:constr type="w" for="ch" forName="rect1" refType="w"/>
              <dgm:constr type="h" for="ch" forName="rect1" refType="h" fact="0.8"/>
              <dgm:constr type="l" for="ch" forName="wedgeRectCallout1" refType="w" fact="0.02"/>
              <dgm:constr type="t" for="ch" forName="wedgeRectCallout1" refType="h" fact="0.72"/>
              <dgm:constr type="w" for="ch" forName="wedgeRectCallout1" refType="w" fact="0.89"/>
              <dgm:constr type="h" for="ch" forName="wedgeRectCallout1" refType="h" fact="0.28"/>
            </dgm:constrLst>
          </dgm:else>
        </dgm:choose>
        <dgm:layoutNode name="rect1" styleLbl="bgImgPlace1">
          <dgm:alg type="sp"/>
          <dgm:shape xmlns:r="http://schemas.openxmlformats.org/officeDocument/2006/relationships" type="rect" r:blip="" blipPhldr="1">
            <dgm:adjLst/>
          </dgm:shape>
          <dgm:presOf/>
        </dgm:layoutNode>
        <dgm:layoutNode name="wedgeRectCallout1" styleLbl="node1">
          <dgm:varLst>
            <dgm:bulletEnabled val="1"/>
          </dgm:varLst>
          <dgm:alg type="tx"/>
          <dgm:choose name="Name7">
            <dgm:if name="Name8" func="var" arg="dir" op="equ" val="norm">
              <dgm:shape xmlns:r="http://schemas.openxmlformats.org/officeDocument/2006/relationships" type="wedgeRectCallout" r:blip="">
                <dgm:adjLst>
                  <dgm:adj idx="1" val="0.2025"/>
                  <dgm:adj idx="2" val="-0.607"/>
                </dgm:adjLst>
              </dgm:shape>
            </dgm:if>
            <dgm:else name="Name9">
              <dgm:shape xmlns:r="http://schemas.openxmlformats.org/officeDocument/2006/relationships" type="wedgeRectCallout" r:blip="">
                <dgm:adjLst>
                  <dgm:adj idx="1" val="-0.2025"/>
                  <dgm:adj idx="2" val="-0.607"/>
                </dgm:adjLst>
              </dgm:shape>
            </dgm:else>
          </dgm:choos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align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txPr/>
    <dgm:style>
      <a:lnRef idx="2">
        <a:scrgbClr r="0" g="0" b="0"/>
      </a:lnRef>
      <a:fillRef idx="1">
        <a:scrgbClr r="0" g="0" b="0"/>
      </a:fillRef>
      <a:effectRef idx="0">
        <a:scrgbClr r="0" g="0" b="0"/>
      </a:effectRef>
      <a:fontRef idx="minor">
        <a:schemeClr val="tx1"/>
      </a:fontRef>
    </dgm:style>
  </dgm:styleLbl>
</dgm:styleDef>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contractReview xmlns="http://schemas.wps.cn/vas-ai-hub/contract-review">
  <reviewItems>
    <reviewItem>
      <errorID>90b0cdfb-7fa3-45d5-9114-3db8d6c45157</errorID>
      <errorWord>考察</errorWord>
      <group>L1_Word</group>
      <groupName>字词问题</groupName>
      <ability>L2_Typo</ability>
      <abilityName>字词错误</abilityName>
      <candidateList>
        <item>考查</item>
      </candidateList>
      <explain>〈动〉用一定的标准来检查衡量（行为、活动）：～学生的学业成绩。</explain>
      <paraID>12CB2F53</paraID>
      <start>173</start>
      <end>175</end>
      <status>modified</status>
      <modifiedWord>考查</modifiedWord>
      <trackRevisions>false</trackRevisions>
    </reviewItem>
    <reviewItem>
      <errorID>c785310e-36da-4cb0-bbf7-48f91c042f89</errorID>
      <errorWord>操作合</errorWord>
      <group>L1_Word</group>
      <groupName>字词问题</groupName>
      <ability>L2_Typo</ability>
      <abilityName>字词错误</abilityName>
      <candidateList>
        <item>操作台</item>
      </candidateList>
      <explain/>
      <paraID>5C55F0DD</paraID>
      <start>14</start>
      <end>17</end>
      <status>ignored</status>
      <modifiedWord/>
      <trackRevisions>false</trackRevisions>
    </reviewItem>
    <reviewItem>
      <errorID>560ae6bc-672a-4ddd-ae51-f717f999068f</errorID>
      <errorWord>获</errorWord>
      <group>L1_Word</group>
      <groupName>字词问题</groupName>
      <ability>L2_Typo</ability>
      <abilityName>字词错误</abilityName>
      <candidateList>
        <item>获得</item>
      </candidateList>
      <explain>〈动〉取得；得到（多用于抽象事物）：～好评｜～宝贵的经验｜～显著的成绩。</explain>
      <paraID>6FDC9D77</paraID>
      <start>25</start>
      <end>27</end>
      <status>modified</status>
      <modifiedWord>获得</modifiedWord>
      <trackRevisions>false</trackRevisions>
    </reviewItem>
    <reviewItem>
      <errorID>3ffbd9ac-dbf5-483c-b481-65ffecad97e0</errorID>
      <errorWord>;</errorWord>
      <group>L1_Format</group>
      <groupName>格式问题</groupName>
      <ability>L2_HalfPunc</ability>
      <abilityName>全半角检查</abilityName>
      <candidateList>
        <item>；</item>
      </candidateList>
      <explain>文本全半角错误。</explain>
      <paraID>  576C5B</paraID>
      <start>101</start>
      <end>102</end>
      <status>modified</status>
      <modifiedWord>；</modifiedWord>
      <trackRevisions>false</trackRevisions>
    </reviewItem>
    <reviewItem>
      <errorID>220a89de-9576-4123-b2e8-ba147a82acdf</errorID>
      <errorWord>工</errorWord>
      <group>L1_Word</group>
      <groupName>字词问题</groupName>
      <ability>L2_Typo</ability>
      <abilityName>字词错误</abilityName>
      <candidateList>
        <item>工具</item>
      </candidateList>
      <explain/>
      <paraID>28D5D6DB</paraID>
      <start>81</start>
      <end>82</end>
      <status>ignored</status>
      <modifiedWord/>
      <trackRevisions>false</trackRevisions>
    </reviewItem>
    <reviewItem>
      <errorID>f6c9ee4c-c3bc-4cb3-b9e6-0aa7522804bb</errorID>
      <errorWord>(一)</errorWord>
      <group>L1_Format</group>
      <groupName>格式问题</groupName>
      <ability>L2_Ordinal</ability>
      <abilityName>序号格式</abilityName>
      <candidateList>
        <item>（一）</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3C25AF91</paraID>
      <start>0</start>
      <end>3</end>
      <status>modified</status>
      <modifiedWord>（一）</modifiedWord>
      <trackRevisions>false</trackRevisions>
    </reviewItem>
    <reviewItem>
      <errorID>1175b070-5f12-499c-8116-71c81c5607ea</errorID>
      <errorWord>)</errorWord>
      <group>L1_Format</group>
      <groupName>格式问题</groupName>
      <ability>L2_HalfPunc</ability>
      <abilityName>全半角检查</abilityName>
      <candidateList>
        <item>）</item>
      </candidateList>
      <explain>文本全半角错误。</explain>
      <paraID>30B824C3</paraID>
      <start>23</start>
      <end>24</end>
      <status>modified</status>
      <modifiedWord>）</modifiedWord>
      <trackRevisions>false</trackRevisions>
    </reviewItem>
    <reviewItem>
      <errorID>b0ba27bb-2397-4283-9d6d-2ec6519877ea</errorID>
      <errorWord>以外</errorWord>
      <group>L1_Word</group>
      <groupName>字词问题</groupName>
      <ability>L2_Typo</ability>
      <abilityName>字词错误</abilityName>
      <candidateList>
        <item>意外</item>
      </candidateList>
      <explain>❶〈形〉意料之外的：感到～｜～事故。❷〈名〉意外的不幸事件：严禁烟火，以免发生～。</explain>
      <paraID>4B2A502F</paraID>
      <start>107</start>
      <end>109</end>
      <status>modified</status>
      <modifiedWord>意外</modifiedWord>
      <trackRevisions>false</trackRevisions>
    </reviewItem>
    <reviewItem>
      <errorID>1dc244f3-2cd0-4ab4-ab54-e09ad85c1611</errorID>
      <errorWord>做出</errorWord>
      <group>L1_Word</group>
      <groupName>字词问题</groupName>
      <ability>L2_Typo</ability>
      <abilityName>字词错误</abilityName>
      <candidateList>
        <item>作出</item>
      </candidateList>
      <explain/>
      <paraID>734EF2BA</paraID>
      <start>96</start>
      <end>98</end>
      <status>modified</status>
      <modifiedWord>作出</modifiedWord>
      <trackRevisions>false</trackRevisions>
    </reviewItem>
    <reviewItem>
      <errorID>714fcfe0-7e38-4d8d-9cde-56e8c6ca2afb</errorID>
      <errorWord>震动</errorWord>
      <group>L1_Word</group>
      <groupName>字词问题</groupName>
      <ability>L2_Typo</ability>
      <abilityName>字词错误</abilityName>
      <candidateList>
        <item>振动</item>
      </candidateList>
      <explain>存在发音相同字词的误用。</explain>
      <paraID>7FDA9AC1</paraID>
      <start>46</start>
      <end>48</end>
      <status>modified</status>
      <modifiedWord>振动</modifiedWord>
      <trackRevisions>false</trackRevisions>
    </reviewItem>
    <reviewItem>
      <errorID>622e7192-9b38-47e2-a473-d125fe8dce35</errorID>
      <errorWord>～</errorWord>
      <group>L1_Format</group>
      <groupName>格式问题</groupName>
      <ability>L2_HalfPunc</ability>
      <abilityName>全半角检查</abilityName>
      <candidateList>
        <item>~</item>
      </candidateList>
      <explain>文本全半角错误。</explain>
      <paraID>3DB462DA</paraID>
      <start>5</start>
      <end>6</end>
      <status>modified</status>
      <modifiedWord>~</modifiedWord>
      <trackRevisions>false</trackRevisions>
    </reviewItem>
    <reviewItem>
      <errorID>d041503e-0864-4c47-a759-18c6ec588981</errorID>
      <errorWord>～</errorWord>
      <group>L1_Format</group>
      <groupName>格式问题</groupName>
      <ability>L2_HalfPunc</ability>
      <abilityName>全半角检查</abilityName>
      <candidateList>
        <item>~</item>
      </candidateList>
      <explain>文本全半角错误。</explain>
      <paraID>569812C3</paraID>
      <start>5</start>
      <end>6</end>
      <status>modified</status>
      <modifiedWord>~</modifiedWord>
      <trackRevisions>false</trackRevisions>
    </reviewItem>
    <reviewItem>
      <errorID>ec0783a3-5f22-45ee-86dc-0c8b2a2bfb0f</errorID>
      <errorWord>～</errorWord>
      <group>L1_Format</group>
      <groupName>格式问题</groupName>
      <ability>L2_HalfPunc</ability>
      <abilityName>全半角检查</abilityName>
      <candidateList>
        <item>~</item>
      </candidateList>
      <explain>文本全半角错误。</explain>
      <paraID>1BF39624</paraID>
      <start>4</start>
      <end>5</end>
      <status>modified</status>
      <modifiedWord>~</modifiedWord>
      <trackRevisions>false</trackRevisions>
    </reviewItem>
    <reviewItem>
      <errorID>ab99686e-581d-446c-a076-74f6b01fe071</errorID>
      <errorWord>～</errorWord>
      <group>L1_Format</group>
      <groupName>格式问题</groupName>
      <ability>L2_HalfPunc</ability>
      <abilityName>全半角检查</abilityName>
      <candidateList>
        <item>~</item>
      </candidateList>
      <explain>文本全半角错误。</explain>
      <paraID>1B6A1758</paraID>
      <start>5</start>
      <end>6</end>
      <status>modified</status>
      <modifiedWord>~</modifiedWord>
      <trackRevisions>false</trackRevisions>
    </reviewItem>
    <reviewItem>
      <errorID>4284086c-5065-49e0-8605-3f091362311a</errorID>
      <errorWord>～</errorWord>
      <group>L1_Format</group>
      <groupName>格式问题</groupName>
      <ability>L2_HalfPunc</ability>
      <abilityName>全半角检查</abilityName>
      <candidateList>
        <item>~</item>
      </candidateList>
      <explain>文本全半角错误。</explain>
      <paraID>751306E0</paraID>
      <start>5</start>
      <end>6</end>
      <status>modified</status>
      <modifiedWord>~</modifiedWord>
      <trackRevisions>false</trackRevisions>
    </reviewItem>
    <reviewItem>
      <errorID>772f5d79-408b-460b-a3b1-7a1a64b6efac</errorID>
      <errorWord>～</errorWord>
      <group>L1_Format</group>
      <groupName>格式问题</groupName>
      <ability>L2_HalfPunc</ability>
      <abilityName>全半角检查</abilityName>
      <candidateList>
        <item>~</item>
      </candidateList>
      <explain>文本全半角错误。</explain>
      <paraID> F7221CD</paraID>
      <start>5</start>
      <end>6</end>
      <status>modified</status>
      <modifiedWord>~</modifiedWord>
      <trackRevisions>false</trackRevisions>
    </reviewItem>
    <reviewItem>
      <errorID>2c52ca01-c294-4532-a157-af82aba7610a</errorID>
      <errorWord>产片</errorWord>
      <group>L1_Word</group>
      <groupName>字词问题</groupName>
      <ability>L2_Typo</ability>
      <abilityName>字词错误</abilityName>
      <candidateList>
        <item>产品</item>
      </candidateList>
      <explain>〈名〉生产出来的物品：农～｜畜～｜～出厂都要经过检验。</explain>
      <paraID>5E0FBBD1</paraID>
      <start>17</start>
      <end>19</end>
      <status>ignored</status>
      <modifiedWord/>
      <trackRevisions>false</trackRevisions>
    </reviewItem>
    <reviewItem>
      <errorID>c0686bdd-e7b5-4e3e-9713-b99a7dd672ea</errorID>
      <errorWord>，</errorWord>
      <group>L1_Word</group>
      <groupName>字词问题</groupName>
      <ability>L2_Typo</ability>
      <abilityName>字词错误</abilityName>
      <candidateList>
        <item>，包</item>
      </candidateList>
      <explain/>
      <paraID> A5EF379</paraID>
      <start>38</start>
      <end>40</end>
      <status>modified</status>
      <modifiedWord>，包</modifiedWord>
      <trackRevisions>false</trackRevisions>
    </reviewItem>
    <reviewItem>
      <errorID>f99dfc7d-9d53-4ed7-8684-ca70b0c473ef</errorID>
      <errorWord>)</errorWord>
      <group>L1_Format</group>
      <groupName>格式问题</groupName>
      <ability>L2_HalfPunc</ability>
      <abilityName>全半角检查</abilityName>
      <candidateList>
        <item>）</item>
      </candidateList>
      <explain>文本全半角错误。</explain>
      <paraID>703C330A</paraID>
      <start>26</start>
      <end>27</end>
      <status>modified</status>
      <modifiedWord>）</modifiedWord>
      <trackRevisions>false</trackRevisions>
    </reviewItem>
    <reviewItem>
      <errorID>29ecb1fb-80ea-420e-9416-b884b985f0e6</errorID>
      <errorWord>)</errorWord>
      <group>L1_Format</group>
      <groupName>格式问题</groupName>
      <ability>L2_HalfPunc</ability>
      <abilityName>全半角检查</abilityName>
      <candidateList>
        <item>）</item>
      </candidateList>
      <explain>文本全半角错误。</explain>
      <paraID>703C330A</paraID>
      <start>36</start>
      <end>37</end>
      <status>modified</status>
      <modifiedWord>）</modifiedWord>
      <trackRevisions>false</trackRevisions>
    </reviewItem>
    <reviewItem>
      <errorID>41c352b1-dc54-448c-bd5d-b8f6ab24bc06</errorID>
      <errorWord>)</errorWord>
      <group>L1_Format</group>
      <groupName>格式问题</groupName>
      <ability>L2_HalfPunc</ability>
      <abilityName>全半角检查</abilityName>
      <candidateList>
        <item>）</item>
      </candidateList>
      <explain>文本全半角错误。</explain>
      <paraID>703C330A</paraID>
      <start>51</start>
      <end>52</end>
      <status>modified</status>
      <modifiedWord>）</modifiedWord>
      <trackRevisions>false</trackRevisions>
    </reviewItem>
    <reviewItem>
      <errorID>e93311c1-6bb4-47bb-8803-5a5f111b4caf</errorID>
      <errorWord>)</errorWord>
      <group>L1_Format</group>
      <groupName>格式问题</groupName>
      <ability>L2_HalfPunc</ability>
      <abilityName>全半角检查</abilityName>
      <candidateList>
        <item>）</item>
      </candidateList>
      <explain>文本全半角错误。</explain>
      <paraID>703C330A</paraID>
      <start>71</start>
      <end>72</end>
      <status>modified</status>
      <modifiedWord>）</modifiedWord>
      <trackRevisions>false</trackRevisions>
    </reviewItem>
    <reviewItem>
      <errorID>98678160-875a-46a1-8a20-153d33949b0f</errorID>
      <errorWord>)</errorWord>
      <group>L1_Format</group>
      <groupName>格式问题</groupName>
      <ability>L2_HalfPunc</ability>
      <abilityName>全半角检查</abilityName>
      <candidateList>
        <item>）</item>
      </candidateList>
      <explain>文本全半角错误。</explain>
      <paraID>703C330A</paraID>
      <start>83</start>
      <end>84</end>
      <status>modified</status>
      <modifiedWord>）</modifiedWord>
      <trackRevisions>false</trackRevisions>
    </reviewItem>
    <reviewItem>
      <errorID>127cd202-d262-4ae1-819f-e7b71245a032</errorID>
      <errorWord>干扰能</errorWord>
      <group>L1_Knowledge</group>
      <groupName>知识性问题</groupName>
      <ability>L2_Term</ability>
      <abilityName>专业术语</abilityName>
      <candidateList>
        <item>干扰素</item>
      </candidateList>
      <explain>医学名词[干扰能]为不规范表述或旧称，其规范书面表述为[干扰素]。</explain>
      <paraID>114A3AA5</paraID>
      <start>82</start>
      <end>85</end>
      <status>ignored</status>
      <modifiedWord/>
      <trackRevisions>false</trackRevisions>
    </reviewItem>
    <reviewItem>
      <errorID>f4340ece-2955-45ea-a25f-2ed631f40cad</errorID>
      <errorWord>操场</errorWord>
      <group>L1_Word</group>
      <groupName>字词问题</groupName>
      <ability>L2_Typo</ability>
      <abilityName>字词错误</abilityName>
      <candidateList>
        <item>操</item>
      </candidateList>
      <explain/>
      <paraID>1D1EB5A2</paraID>
      <start>2</start>
      <end>3</end>
      <status>modified</status>
      <modifiedWord>操</modifiedWord>
      <trackRevisions>false</trackRevisions>
    </reviewItem>
    <reviewItem>
      <errorID>ebcdc87c-5976-4b06-a8ab-3b5e6a23f64b</errorID>
      <errorWord>纪录</errorWord>
      <group>L1_Word</group>
      <groupName>字词问题</groupName>
      <ability>L2_Typo</ability>
      <abilityName>字词错误</abilityName>
      <candidateList>
        <item>记录</item>
      </candidateList>
      <explain>存在发音相同字词的误用。</explain>
      <paraID>3DC22B05</paraID>
      <start>79</start>
      <end>81</end>
      <status>modified</status>
      <modifiedWord>记录</modifiedWord>
      <trackRevisions>false</trackRevisions>
    </reviewItem>
    <reviewItem>
      <errorID>c997d41a-7746-4003-9817-0bf122fb3cea</errorID>
      <errorWord>并且</errorWord>
      <group>L1_Word</group>
      <groupName>字词问题</groupName>
      <ability>L2_Typo</ability>
      <abilityName>字词错误</abilityName>
      <candidateList>
        <item>并</item>
      </candidateList>
      <explain>（並、竝）bìnɡ❶〈动〉两种或两种以上的事物平排着：～蒂莲｜我们手挽着手，肩～着肩。❷〈副〉表示不同的事物同时存在，不同的事情同时进行：两说～存｜相提～论。❸〈副〉用在否定词前面加强否定的语气，略带反驳的意味：你以为他糊涂，其实他～不糊涂｜所谓团结～非一团和气。❹〈连〉并且：我完全同意～拥护领导的决定。</explain>
      <paraID>7C7D4242</paraID>
      <start>48</start>
      <end>49</end>
      <status>modified</status>
      <modifiedWord>并</modifiedWord>
      <trackRevisions>false</trackRevisions>
    </reviewItem>
    <reviewItem>
      <errorID>84a276cb-d568-4cd7-bcb4-8625e034c316</errorID>
      <errorWord>进</errorWord>
      <group>L1_Word</group>
      <groupName>字词问题</groupName>
      <ability>L2_Typo</ability>
      <abilityName>字词错误</abilityName>
      <candidateList>
        <item>进入</item>
      </candidateList>
      <explain>〈动〉支进到某个范围或某个时期里：～学校｜～新阶段◇～角色。</explain>
      <paraID>49893FB6</paraID>
      <start>38</start>
      <end>40</end>
      <status>modified</status>
      <modifiedWord>进入</modifiedWord>
      <trackRevisions>false</trackRevisions>
    </reviewItem>
    <reviewItem>
      <errorID>26e10573-9104-4e3b-a3c5-784d59d79bcd</errorID>
      <errorWord>可以</errorWord>
      <group>L1_Word</group>
      <groupName>字词问题</groupName>
      <ability>L2_Typo</ability>
      <abilityName>字词错误</abilityName>
      <candidateList>
        <item>可</item>
      </candidateList>
      <explain>〈动〉适合：～人意｜这回倒～了他的心了。</explain>
      <paraID>1B90172C</paraID>
      <start>42</start>
      <end>43</end>
      <status>modified</status>
      <modifiedWord>可</modifiedWord>
      <trackRevisions>false</trackRevisions>
    </reviewItem>
    <reviewItem>
      <errorID>2244408e-7c56-4468-8952-280f9e1e53bf</errorID>
      <errorWord>不安全隐患</errorWord>
      <group>L1_Word</group>
      <groupName>字词问题</groupName>
      <ability>L2_Typo</ability>
      <abilityName>字词错误</abilityName>
      <candidateList>
        <item>安全隐患</item>
      </candidateList>
      <explain/>
      <paraID>63B98645</paraID>
      <start>8</start>
      <end>12</end>
      <status>modified</status>
      <modifiedWord>安全隐患</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39c696f-1855-4169-8aec-78d02d0ec0b6}">
  <ds:schemaRefs/>
</ds:datastoreItem>
</file>

<file path=docProps/app.xml><?xml version="1.0" encoding="utf-8"?>
<Properties xmlns="http://schemas.openxmlformats.org/officeDocument/2006/extended-properties" xmlns:vt="http://schemas.openxmlformats.org/officeDocument/2006/docPropsVTypes">
  <Template>Normal.dotm</Template>
  <Pages>17</Pages>
  <Words>7018</Words>
  <Characters>7616</Characters>
  <Lines>0</Lines>
  <Paragraphs>0</Paragraphs>
  <TotalTime>2</TotalTime>
  <ScaleCrop>false</ScaleCrop>
  <LinksUpToDate>false</LinksUpToDate>
  <CharactersWithSpaces>7616</CharactersWithSpaces>
  <Application>WPS Office_12.1.0.26375_F1E327BC-269C-435d-A152-05C5408002CA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2019-06-29T03:02:00Z</dcterms:created>
  <dc:creator>Administrator</dc:creator>
  <cp:lastModifiedBy>长江</cp:lastModifiedBy>
  <dcterms:modified xsi:type="dcterms:W3CDTF">2026-06-15T08:10:02Z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2052-12.1.0.26375</vt:lpwstr>
  </property>
  <property fmtid="{D5CDD505-2E9C-101B-9397-08002B2CF9AE}" pid="3" name="KSOTemplateDocerSaveRecord">
    <vt:lpwstr>eyJoZGlkIjoiMDZlYjEyMjZlYWJmMWZkNGUzNmEyNzljZjc5ZDNlNGYiLCJ1c2VySWQiOiI5OTMxNjk1MzgifQ==</vt:lpwstr>
  </property>
  <property fmtid="{D5CDD505-2E9C-101B-9397-08002B2CF9AE}" pid="4" name="ICV">
    <vt:lpwstr>7D8AFEA2AB20408FAFADCAE99E8FCB27_13</vt:lpwstr>
  </property>
</Properties>
</file>