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A6004">
      <w:pPr>
        <w:spacing w:line="360" w:lineRule="auto"/>
        <w:jc w:val="center"/>
        <w:rPr>
          <w:rFonts w:hint="eastAsia" w:asciiTheme="minorEastAsia" w:hAnsiTheme="minorEastAsia" w:eastAsiaTheme="minorEastAsia" w:cstheme="minorEastAsia"/>
          <w:b/>
          <w:bCs w:val="0"/>
          <w:sz w:val="36"/>
          <w:szCs w:val="36"/>
          <w:lang w:eastAsia="zh-CN"/>
        </w:rPr>
      </w:pPr>
      <w:r>
        <w:rPr>
          <w:rFonts w:hint="eastAsia" w:asciiTheme="minorEastAsia" w:hAnsiTheme="minorEastAsia" w:eastAsiaTheme="minorEastAsia" w:cstheme="minorEastAsia"/>
          <w:b/>
          <w:bCs w:val="0"/>
          <w:sz w:val="36"/>
          <w:szCs w:val="36"/>
        </w:rPr>
        <w:t>202</w:t>
      </w:r>
      <w:r>
        <w:rPr>
          <w:rFonts w:hint="eastAsia" w:asciiTheme="minorEastAsia" w:hAnsiTheme="minorEastAsia" w:eastAsiaTheme="minorEastAsia" w:cstheme="minorEastAsia"/>
          <w:b/>
          <w:bCs w:val="0"/>
          <w:sz w:val="36"/>
          <w:szCs w:val="36"/>
          <w:lang w:val="en-US" w:eastAsia="zh-CN"/>
        </w:rPr>
        <w:t>6</w:t>
      </w:r>
      <w:r>
        <w:rPr>
          <w:rFonts w:hint="eastAsia" w:asciiTheme="minorEastAsia" w:hAnsiTheme="minorEastAsia" w:eastAsiaTheme="minorEastAsia" w:cstheme="minorEastAsia"/>
          <w:b/>
          <w:bCs w:val="0"/>
          <w:sz w:val="36"/>
          <w:szCs w:val="36"/>
        </w:rPr>
        <w:t>年</w:t>
      </w:r>
      <w:r>
        <w:rPr>
          <w:rFonts w:hint="eastAsia" w:asciiTheme="minorEastAsia" w:hAnsiTheme="minorEastAsia" w:eastAsiaTheme="minorEastAsia" w:cstheme="minorEastAsia"/>
          <w:b/>
          <w:bCs w:val="0"/>
          <w:sz w:val="36"/>
          <w:szCs w:val="36"/>
          <w:lang w:eastAsia="zh-CN"/>
        </w:rPr>
        <w:t>唐山</w:t>
      </w:r>
      <w:r>
        <w:rPr>
          <w:rFonts w:hint="eastAsia" w:asciiTheme="minorEastAsia" w:hAnsiTheme="minorEastAsia" w:eastAsiaTheme="minorEastAsia" w:cstheme="minorEastAsia"/>
          <w:b/>
          <w:bCs w:val="0"/>
          <w:sz w:val="36"/>
          <w:szCs w:val="36"/>
          <w:lang w:val="en-US" w:eastAsia="zh-CN"/>
        </w:rPr>
        <w:t>市中等职业学校</w:t>
      </w:r>
      <w:r>
        <w:rPr>
          <w:rFonts w:hint="eastAsia" w:asciiTheme="minorEastAsia" w:hAnsiTheme="minorEastAsia" w:eastAsiaTheme="minorEastAsia" w:cstheme="minorEastAsia"/>
          <w:b/>
          <w:bCs w:val="0"/>
          <w:sz w:val="36"/>
          <w:szCs w:val="36"/>
          <w:lang w:eastAsia="zh-CN"/>
        </w:rPr>
        <w:t>技能</w:t>
      </w:r>
      <w:r>
        <w:rPr>
          <w:rFonts w:hint="eastAsia" w:asciiTheme="minorEastAsia" w:hAnsiTheme="minorEastAsia" w:eastAsiaTheme="minorEastAsia" w:cstheme="minorEastAsia"/>
          <w:b/>
          <w:bCs w:val="0"/>
          <w:sz w:val="36"/>
          <w:szCs w:val="36"/>
          <w:lang w:val="en-US" w:eastAsia="zh-CN"/>
        </w:rPr>
        <w:t>竞</w:t>
      </w:r>
      <w:r>
        <w:rPr>
          <w:rFonts w:hint="eastAsia" w:asciiTheme="minorEastAsia" w:hAnsiTheme="minorEastAsia" w:eastAsiaTheme="minorEastAsia" w:cstheme="minorEastAsia"/>
          <w:b/>
          <w:bCs w:val="0"/>
          <w:sz w:val="36"/>
          <w:szCs w:val="36"/>
          <w:lang w:eastAsia="zh-CN"/>
        </w:rPr>
        <w:t>赛</w:t>
      </w:r>
    </w:p>
    <w:p w14:paraId="4EBAED0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Theme="minorEastAsia" w:hAnsiTheme="minorEastAsia" w:eastAsiaTheme="minorEastAsia" w:cstheme="minorEastAsia"/>
          <w:b/>
          <w:bCs w:val="0"/>
          <w:sz w:val="36"/>
          <w:szCs w:val="36"/>
          <w:lang w:val="en-US" w:eastAsia="zh-CN"/>
        </w:rPr>
      </w:pPr>
      <w:r>
        <w:rPr>
          <w:rFonts w:hint="eastAsia" w:asciiTheme="minorEastAsia" w:hAnsiTheme="minorEastAsia" w:eastAsiaTheme="minorEastAsia" w:cstheme="minorEastAsia"/>
          <w:b/>
          <w:bCs w:val="0"/>
          <w:spacing w:val="4"/>
          <w:sz w:val="36"/>
          <w:szCs w:val="36"/>
          <w:lang w:val="en-US" w:eastAsia="zh-CN"/>
        </w:rPr>
        <w:t>汽车</w:t>
      </w:r>
      <w:r>
        <w:rPr>
          <w:rFonts w:hint="eastAsia" w:asciiTheme="minorEastAsia" w:hAnsiTheme="minorEastAsia" w:eastAsiaTheme="minorEastAsia" w:cstheme="minorEastAsia"/>
          <w:b/>
          <w:bCs w:val="0"/>
          <w:spacing w:val="4"/>
          <w:sz w:val="36"/>
          <w:szCs w:val="36"/>
        </w:rPr>
        <w:t>车身修复与美容赛项规程</w:t>
      </w:r>
    </w:p>
    <w:p w14:paraId="528EA35C">
      <w:pPr>
        <w:spacing w:line="245" w:lineRule="auto"/>
        <w:jc w:val="center"/>
        <w:rPr>
          <w:rFonts w:ascii="Arial"/>
          <w:sz w:val="21"/>
        </w:rPr>
      </w:pPr>
    </w:p>
    <w:p w14:paraId="262C7325">
      <w:pPr>
        <w:spacing w:line="246" w:lineRule="auto"/>
        <w:jc w:val="center"/>
        <w:rPr>
          <w:rFonts w:ascii="Arial"/>
          <w:sz w:val="21"/>
        </w:rPr>
      </w:pPr>
    </w:p>
    <w:p w14:paraId="206D3C36">
      <w:pPr>
        <w:spacing w:line="246" w:lineRule="auto"/>
        <w:jc w:val="center"/>
        <w:rPr>
          <w:rFonts w:ascii="Arial"/>
          <w:sz w:val="21"/>
        </w:rPr>
      </w:pPr>
    </w:p>
    <w:p w14:paraId="3B503F4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sz w:val="31"/>
          <w:szCs w:val="31"/>
        </w:rPr>
      </w:pPr>
      <w:r>
        <w:rPr>
          <w:b/>
          <w:bCs/>
          <w:spacing w:val="3"/>
          <w:sz w:val="31"/>
          <w:szCs w:val="31"/>
        </w:rPr>
        <w:t>一、赛项名称</w:t>
      </w:r>
    </w:p>
    <w:p w14:paraId="3C1DDAF8">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赛项名称：汽车车身修复与美容</w:t>
      </w:r>
    </w:p>
    <w:p w14:paraId="28117318">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赛项组别：中职组</w:t>
      </w:r>
      <w:r>
        <w:rPr>
          <w:rFonts w:hint="eastAsia" w:ascii="仿宋" w:hAnsi="仿宋" w:eastAsia="仿宋" w:cs="仿宋"/>
          <w:spacing w:val="-2"/>
          <w:sz w:val="28"/>
          <w:szCs w:val="28"/>
          <w:lang w:eastAsia="zh-CN"/>
        </w:rPr>
        <w:t>（学生组）</w:t>
      </w:r>
    </w:p>
    <w:p w14:paraId="19B12A7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二、竞赛目的</w:t>
      </w:r>
    </w:p>
    <w:p w14:paraId="433879A7">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本赛项以世界职业院校技能大赛汽车车身修复与美容赛项为指引，借鉴世界技能大赛及交通运输行业汽车美容装饰赛项的规则，引入汽车行业的技术标准、职业技能鉴定标准和1＋X 职业技能等级证书标准，以汽车车身整形修复、汽车车身涂装修复、汽车美容等岗位工作中最基本且作业量最大的典型维修项目为基础，充分考虑教学标准和行业标准的衔接</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结合实际设计赛项的内容和评价指标；旨在通过竞赛展示技能，检验汽车车身修复和美容装潢专业人才的培养质量，弘扬工匠精神，进一步推动职业院校汽车车身修复、汽车美容装潢和汽车运用与维修等专业的专业建设、课程建设、师资队伍建设、实训基地建设和教材建设，促进校企合作、产教融合，提高学生的专业技能水平和岗位适应能力，实现以赛促教，以赛促学，以赛促改，推动汽车职业教育的高质量发展。</w:t>
      </w:r>
    </w:p>
    <w:p w14:paraId="762E00F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三、竞赛内容</w:t>
      </w:r>
    </w:p>
    <w:p w14:paraId="3F0D5987">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竞赛内容：</w:t>
      </w:r>
      <w:r>
        <w:rPr>
          <w:rFonts w:hint="eastAsia" w:ascii="仿宋" w:hAnsi="仿宋" w:eastAsia="仿宋" w:cs="仿宋"/>
          <w:spacing w:val="-2"/>
          <w:sz w:val="28"/>
          <w:szCs w:val="28"/>
          <w:lang w:val="en-US" w:eastAsia="zh-CN"/>
        </w:rPr>
        <w:t>汽车车门皮凹陷无损修复</w:t>
      </w:r>
      <w:r>
        <w:rPr>
          <w:rFonts w:hint="eastAsia" w:ascii="仿宋" w:hAnsi="仿宋" w:eastAsia="仿宋" w:cs="仿宋"/>
          <w:spacing w:val="-2"/>
          <w:sz w:val="28"/>
          <w:szCs w:val="28"/>
        </w:rPr>
        <w:t xml:space="preserve">，全部为实操考核项目；总时长为 </w:t>
      </w:r>
      <w:r>
        <w:rPr>
          <w:rFonts w:hint="eastAsia" w:ascii="仿宋" w:hAnsi="仿宋" w:eastAsia="仿宋" w:cs="仿宋"/>
          <w:spacing w:val="-2"/>
          <w:sz w:val="28"/>
          <w:szCs w:val="28"/>
          <w:lang w:val="en-US" w:eastAsia="zh-CN"/>
        </w:rPr>
        <w:t>4</w:t>
      </w:r>
      <w:r>
        <w:rPr>
          <w:rFonts w:hint="eastAsia" w:ascii="仿宋" w:hAnsi="仿宋" w:eastAsia="仿宋" w:cs="仿宋"/>
          <w:spacing w:val="-2"/>
          <w:sz w:val="28"/>
          <w:szCs w:val="28"/>
        </w:rPr>
        <w:t xml:space="preserve">0 分钟，分数占比 </w:t>
      </w:r>
      <w:r>
        <w:rPr>
          <w:rFonts w:hint="eastAsia" w:ascii="仿宋" w:hAnsi="仿宋" w:eastAsia="仿宋" w:cs="仿宋"/>
          <w:spacing w:val="-2"/>
          <w:sz w:val="28"/>
          <w:szCs w:val="28"/>
          <w:lang w:val="en-US" w:eastAsia="zh-CN"/>
        </w:rPr>
        <w:t>10</w:t>
      </w:r>
      <w:r>
        <w:rPr>
          <w:rFonts w:hint="eastAsia" w:ascii="仿宋" w:hAnsi="仿宋" w:eastAsia="仿宋" w:cs="仿宋"/>
          <w:spacing w:val="-2"/>
          <w:sz w:val="28"/>
          <w:szCs w:val="28"/>
        </w:rPr>
        <w:t>0%。各模块比赛时间及分数占比见表 1。</w:t>
      </w:r>
    </w:p>
    <w:p w14:paraId="191DAC4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竞赛以团体赛方式线下进行。每支参赛队2名选手，参赛选手须为中等职业学校全日制在籍学生或五年制高职一至三年级 (含三年级）全日制在籍学生。凡在往届全国职业院校技能大赛中获一等奖</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金奖</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的选手，不能再参加同一专业类同一组别的比赛。</w:t>
      </w:r>
    </w:p>
    <w:p w14:paraId="40777E76">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不得跨校组队，按照组委会推荐名额报名， 同一所学校参赛队不超过2支；指导教师须为本校专兼职教师，每队限报2名指导教师。</w:t>
      </w:r>
    </w:p>
    <w:p w14:paraId="713629B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参赛选手和指导老师报名获得集团审核后不得更换。</w:t>
      </w:r>
    </w:p>
    <w:p w14:paraId="6B1EB6DA">
      <w:pPr>
        <w:pStyle w:val="2"/>
        <w:spacing w:before="92" w:line="223" w:lineRule="auto"/>
        <w:ind w:left="3300"/>
      </w:pPr>
      <w:r>
        <w:rPr>
          <w:spacing w:val="-6"/>
        </w:rPr>
        <w:t>表</w:t>
      </w:r>
      <w:r>
        <w:rPr>
          <w:spacing w:val="-33"/>
        </w:rPr>
        <w:t xml:space="preserve"> </w:t>
      </w:r>
      <w:r>
        <w:rPr>
          <w:spacing w:val="-6"/>
        </w:rPr>
        <w:t>1 赛项内容及赋分</w:t>
      </w:r>
    </w:p>
    <w:p w14:paraId="490AEAC0">
      <w:pPr>
        <w:spacing w:line="114" w:lineRule="exact"/>
      </w:pPr>
    </w:p>
    <w:tbl>
      <w:tblPr>
        <w:tblStyle w:val="8"/>
        <w:tblW w:w="914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5"/>
        <w:gridCol w:w="1242"/>
        <w:gridCol w:w="3701"/>
        <w:gridCol w:w="1317"/>
        <w:gridCol w:w="1388"/>
      </w:tblGrid>
      <w:tr w14:paraId="41629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jc w:val="center"/>
        </w:trPr>
        <w:tc>
          <w:tcPr>
            <w:tcW w:w="1495" w:type="dxa"/>
            <w:vAlign w:val="center"/>
          </w:tcPr>
          <w:p w14:paraId="5AE81DD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14:paraId="05C6231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b/>
                <w:bCs/>
                <w:spacing w:val="-7"/>
              </w:rPr>
              <w:t>模块名称</w:t>
            </w:r>
          </w:p>
        </w:tc>
        <w:tc>
          <w:tcPr>
            <w:tcW w:w="1242" w:type="dxa"/>
            <w:vAlign w:val="center"/>
          </w:tcPr>
          <w:p w14:paraId="3B54FD2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b/>
                <w:bCs/>
                <w:spacing w:val="-13"/>
              </w:rPr>
            </w:pPr>
            <w:r>
              <w:rPr>
                <w:b/>
                <w:bCs/>
                <w:spacing w:val="-13"/>
              </w:rPr>
              <w:t>子模块</w:t>
            </w:r>
          </w:p>
          <w:p w14:paraId="32E5418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b/>
                <w:bCs/>
                <w:spacing w:val="-13"/>
              </w:rPr>
              <w:t>编号</w:t>
            </w:r>
          </w:p>
        </w:tc>
        <w:tc>
          <w:tcPr>
            <w:tcW w:w="3701" w:type="dxa"/>
            <w:vAlign w:val="center"/>
          </w:tcPr>
          <w:p w14:paraId="7B85C78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14:paraId="34EA5C8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b/>
                <w:bCs/>
                <w:spacing w:val="-9"/>
              </w:rPr>
              <w:t>子模块名称</w:t>
            </w:r>
          </w:p>
        </w:tc>
        <w:tc>
          <w:tcPr>
            <w:tcW w:w="1317" w:type="dxa"/>
            <w:vAlign w:val="center"/>
          </w:tcPr>
          <w:p w14:paraId="6EFF478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b/>
                <w:bCs/>
                <w:spacing w:val="-9"/>
              </w:rPr>
              <w:t>竞赛时间</w:t>
            </w:r>
          </w:p>
          <w:p w14:paraId="2660003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b/>
                <w:bCs/>
                <w:spacing w:val="-8"/>
              </w:rPr>
              <w:t>（分钟）</w:t>
            </w:r>
          </w:p>
        </w:tc>
        <w:tc>
          <w:tcPr>
            <w:tcW w:w="1388" w:type="dxa"/>
            <w:vAlign w:val="center"/>
          </w:tcPr>
          <w:p w14:paraId="324F320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b/>
                <w:bCs/>
                <w:spacing w:val="-8"/>
              </w:rPr>
              <w:t>分值占总</w:t>
            </w:r>
          </w:p>
          <w:p w14:paraId="5560597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b/>
                <w:bCs/>
                <w:spacing w:val="-8"/>
              </w:rPr>
              <w:t>分比例%</w:t>
            </w:r>
          </w:p>
        </w:tc>
      </w:tr>
      <w:tr w14:paraId="41B2A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95" w:type="dxa"/>
            <w:vMerge w:val="restart"/>
            <w:tcBorders>
              <w:bottom w:val="nil"/>
            </w:tcBorders>
            <w:vAlign w:val="center"/>
          </w:tcPr>
          <w:p w14:paraId="2D2353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p w14:paraId="0DBF969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5"/>
              </w:rPr>
              <w:t>技能测试</w:t>
            </w:r>
          </w:p>
        </w:tc>
        <w:tc>
          <w:tcPr>
            <w:tcW w:w="1242" w:type="dxa"/>
            <w:vAlign w:val="center"/>
          </w:tcPr>
          <w:p w14:paraId="22A1AF2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t>A</w:t>
            </w:r>
          </w:p>
        </w:tc>
        <w:tc>
          <w:tcPr>
            <w:tcW w:w="3701" w:type="dxa"/>
            <w:vAlign w:val="center"/>
          </w:tcPr>
          <w:p w14:paraId="4C66BC3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eastAsia="仿宋"/>
                <w:lang w:val="en-US" w:eastAsia="zh-CN"/>
              </w:rPr>
            </w:pPr>
            <w:r>
              <w:rPr>
                <w:rFonts w:hint="eastAsia"/>
                <w:lang w:val="en-US" w:eastAsia="zh-CN"/>
              </w:rPr>
              <w:t>汽车车门皮凹陷无损修复</w:t>
            </w:r>
          </w:p>
        </w:tc>
        <w:tc>
          <w:tcPr>
            <w:tcW w:w="1317" w:type="dxa"/>
            <w:vAlign w:val="center"/>
          </w:tcPr>
          <w:p w14:paraId="6588981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4"/>
              </w:rPr>
              <w:t>40</w:t>
            </w:r>
          </w:p>
        </w:tc>
        <w:tc>
          <w:tcPr>
            <w:tcW w:w="1388" w:type="dxa"/>
            <w:vAlign w:val="center"/>
          </w:tcPr>
          <w:p w14:paraId="36FB3E2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rFonts w:hint="eastAsia"/>
                <w:spacing w:val="-5"/>
                <w:lang w:val="en-US" w:eastAsia="zh-CN"/>
              </w:rPr>
              <w:t>100</w:t>
            </w:r>
            <w:r>
              <w:rPr>
                <w:spacing w:val="-5"/>
              </w:rPr>
              <w:t>%</w:t>
            </w:r>
          </w:p>
        </w:tc>
      </w:tr>
      <w:tr w14:paraId="05CB9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1495" w:type="dxa"/>
            <w:vMerge w:val="continue"/>
            <w:tcBorders>
              <w:top w:val="nil"/>
              <w:bottom w:val="nil"/>
            </w:tcBorders>
            <w:vAlign w:val="center"/>
          </w:tcPr>
          <w:p w14:paraId="2D0321A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242" w:type="dxa"/>
            <w:vAlign w:val="center"/>
          </w:tcPr>
          <w:p w14:paraId="0C70236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3701" w:type="dxa"/>
            <w:vAlign w:val="center"/>
          </w:tcPr>
          <w:p w14:paraId="5F4F6DB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1317" w:type="dxa"/>
            <w:vAlign w:val="center"/>
          </w:tcPr>
          <w:p w14:paraId="37D3625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1388" w:type="dxa"/>
            <w:vAlign w:val="center"/>
          </w:tcPr>
          <w:p w14:paraId="673F563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r>
      <w:tr w14:paraId="14B04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jc w:val="center"/>
        </w:trPr>
        <w:tc>
          <w:tcPr>
            <w:tcW w:w="1495" w:type="dxa"/>
            <w:vMerge w:val="continue"/>
            <w:tcBorders>
              <w:top w:val="nil"/>
            </w:tcBorders>
            <w:vAlign w:val="center"/>
          </w:tcPr>
          <w:p w14:paraId="48F2B41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rPr>
            </w:pPr>
          </w:p>
        </w:tc>
        <w:tc>
          <w:tcPr>
            <w:tcW w:w="1242" w:type="dxa"/>
            <w:vAlign w:val="center"/>
          </w:tcPr>
          <w:p w14:paraId="29D65B0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3701" w:type="dxa"/>
            <w:vAlign w:val="center"/>
          </w:tcPr>
          <w:p w14:paraId="594F7FE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eastAsia="仿宋"/>
                <w:lang w:val="en-US" w:eastAsia="zh-CN"/>
              </w:rPr>
            </w:pPr>
          </w:p>
        </w:tc>
        <w:tc>
          <w:tcPr>
            <w:tcW w:w="1317" w:type="dxa"/>
            <w:vAlign w:val="center"/>
          </w:tcPr>
          <w:p w14:paraId="1B80788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1388" w:type="dxa"/>
            <w:vAlign w:val="center"/>
          </w:tcPr>
          <w:p w14:paraId="174842B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r>
      <w:tr w14:paraId="65CDA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95" w:type="dxa"/>
            <w:tcBorders>
              <w:right w:val="nil"/>
            </w:tcBorders>
            <w:vAlign w:val="center"/>
          </w:tcPr>
          <w:p w14:paraId="25D3E3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ascii="Arial"/>
                <w:sz w:val="21"/>
              </w:rPr>
            </w:pPr>
          </w:p>
        </w:tc>
        <w:tc>
          <w:tcPr>
            <w:tcW w:w="1242" w:type="dxa"/>
            <w:tcBorders>
              <w:left w:val="nil"/>
              <w:right w:val="nil"/>
            </w:tcBorders>
            <w:vAlign w:val="center"/>
          </w:tcPr>
          <w:p w14:paraId="7CA4F96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ascii="Arial"/>
                <w:sz w:val="21"/>
              </w:rPr>
            </w:pPr>
          </w:p>
        </w:tc>
        <w:tc>
          <w:tcPr>
            <w:tcW w:w="3701" w:type="dxa"/>
            <w:tcBorders>
              <w:left w:val="nil"/>
            </w:tcBorders>
            <w:vAlign w:val="center"/>
          </w:tcPr>
          <w:p w14:paraId="6529376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pPr>
            <w:r>
              <w:rPr>
                <w:spacing w:val="-13"/>
              </w:rPr>
              <w:t>合计</w:t>
            </w:r>
          </w:p>
        </w:tc>
        <w:tc>
          <w:tcPr>
            <w:tcW w:w="1317" w:type="dxa"/>
            <w:vAlign w:val="center"/>
          </w:tcPr>
          <w:p w14:paraId="5A3F5A7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rFonts w:hint="eastAsia"/>
                <w:spacing w:val="-10"/>
                <w:lang w:val="en-US" w:eastAsia="zh-CN"/>
              </w:rPr>
              <w:t>4</w:t>
            </w:r>
            <w:r>
              <w:rPr>
                <w:spacing w:val="-10"/>
              </w:rPr>
              <w:t>0</w:t>
            </w:r>
          </w:p>
        </w:tc>
        <w:tc>
          <w:tcPr>
            <w:tcW w:w="1388" w:type="dxa"/>
            <w:vAlign w:val="center"/>
          </w:tcPr>
          <w:p w14:paraId="52B1CCD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8"/>
              </w:rPr>
              <w:t>100%</w:t>
            </w:r>
          </w:p>
        </w:tc>
      </w:tr>
    </w:tbl>
    <w:p w14:paraId="03F9FE90">
      <w:pPr>
        <w:spacing w:line="351" w:lineRule="auto"/>
        <w:rPr>
          <w:rFonts w:ascii="Arial"/>
          <w:sz w:val="21"/>
        </w:rPr>
      </w:pPr>
    </w:p>
    <w:p w14:paraId="4888A737">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textAlignment w:val="baseline"/>
        <w:outlineLvl w:val="1"/>
        <w:rPr>
          <w:b/>
          <w:bCs/>
          <w:spacing w:val="-4"/>
        </w:rPr>
      </w:pPr>
      <w:r>
        <w:rPr>
          <w:b/>
          <w:bCs/>
          <w:spacing w:val="-4"/>
        </w:rPr>
        <w:t>第一模块</w:t>
      </w:r>
      <w:r>
        <w:rPr>
          <w:spacing w:val="-4"/>
        </w:rPr>
        <w:t xml:space="preserve"> </w:t>
      </w:r>
      <w:r>
        <w:rPr>
          <w:b/>
          <w:bCs/>
          <w:spacing w:val="-4"/>
        </w:rPr>
        <w:t>技能测试</w:t>
      </w:r>
    </w:p>
    <w:p w14:paraId="690B3A08">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1.子模块 A：</w:t>
      </w:r>
      <w:r>
        <w:rPr>
          <w:rFonts w:hint="eastAsia" w:ascii="仿宋" w:hAnsi="仿宋" w:eastAsia="仿宋" w:cs="仿宋"/>
          <w:spacing w:val="-2"/>
          <w:sz w:val="28"/>
          <w:szCs w:val="28"/>
          <w:lang w:val="en-US" w:eastAsia="zh-CN"/>
        </w:rPr>
        <w:t>汽车车门皮凹陷无损修复</w:t>
      </w:r>
    </w:p>
    <w:p w14:paraId="0D2CA3A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（1）主要作业内容及要求：</w:t>
      </w:r>
    </w:p>
    <w:p w14:paraId="3BD96B1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color w:val="000000"/>
          <w:sz w:val="28"/>
          <w:szCs w:val="28"/>
        </w:rPr>
      </w:pPr>
      <w:r>
        <w:rPr>
          <w:rFonts w:hint="eastAsia" w:ascii="仿宋" w:hAnsi="仿宋" w:eastAsia="仿宋" w:cs="仿宋"/>
          <w:spacing w:val="-2"/>
          <w:sz w:val="28"/>
          <w:szCs w:val="28"/>
        </w:rPr>
        <w:t>该模块包括受损面板无伤漆修复，要求</w:t>
      </w:r>
      <w:r>
        <w:rPr>
          <w:rFonts w:hint="eastAsia" w:ascii="仿宋" w:hAnsi="仿宋" w:eastAsia="仿宋" w:cs="仿宋"/>
          <w:color w:val="000000"/>
          <w:sz w:val="28"/>
          <w:szCs w:val="28"/>
        </w:rPr>
        <w:t>在</w:t>
      </w:r>
      <w:r>
        <w:rPr>
          <w:rFonts w:hint="eastAsia" w:ascii="仿宋" w:hAnsi="仿宋" w:eastAsia="仿宋" w:cs="仿宋"/>
          <w:color w:val="000000"/>
          <w:sz w:val="28"/>
          <w:szCs w:val="28"/>
          <w:lang w:val="en-US" w:eastAsia="zh-CN"/>
        </w:rPr>
        <w:t>规定时间</w:t>
      </w:r>
      <w:r>
        <w:rPr>
          <w:rFonts w:hint="eastAsia" w:ascii="仿宋" w:hAnsi="仿宋" w:eastAsia="仿宋" w:cs="仿宋"/>
          <w:color w:val="000000"/>
          <w:sz w:val="28"/>
          <w:szCs w:val="28"/>
        </w:rPr>
        <w:t>内通过运用</w:t>
      </w:r>
      <w:r>
        <w:rPr>
          <w:rFonts w:hint="eastAsia" w:ascii="仿宋" w:hAnsi="仿宋" w:eastAsia="仿宋" w:cs="仿宋"/>
          <w:color w:val="000000"/>
          <w:sz w:val="28"/>
          <w:szCs w:val="28"/>
          <w:lang w:val="en-US" w:eastAsia="zh-CN"/>
        </w:rPr>
        <w:t>凹陷修复仪</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凹陷</w:t>
      </w:r>
      <w:r>
        <w:rPr>
          <w:rFonts w:hint="eastAsia" w:ascii="仿宋" w:hAnsi="仿宋" w:eastAsia="仿宋" w:cs="仿宋"/>
          <w:color w:val="000000"/>
          <w:sz w:val="28"/>
          <w:szCs w:val="28"/>
        </w:rPr>
        <w:t>整平灯、</w:t>
      </w:r>
      <w:r>
        <w:rPr>
          <w:rFonts w:hint="eastAsia" w:ascii="仿宋" w:hAnsi="仿宋" w:eastAsia="仿宋" w:cs="仿宋"/>
          <w:color w:val="000000"/>
          <w:sz w:val="28"/>
          <w:szCs w:val="28"/>
          <w:lang w:val="en-US" w:eastAsia="zh-CN"/>
        </w:rPr>
        <w:t>凹陷杠杆工具</w:t>
      </w:r>
      <w:r>
        <w:rPr>
          <w:rFonts w:hint="eastAsia" w:ascii="仿宋" w:hAnsi="仿宋" w:eastAsia="仿宋" w:cs="仿宋"/>
          <w:color w:val="000000"/>
          <w:sz w:val="28"/>
          <w:szCs w:val="28"/>
        </w:rPr>
        <w:t>等设备，将车门</w:t>
      </w:r>
      <w:r>
        <w:rPr>
          <w:rFonts w:hint="eastAsia" w:ascii="仿宋" w:hAnsi="仿宋" w:eastAsia="仿宋" w:cs="仿宋"/>
          <w:color w:val="000000"/>
          <w:sz w:val="28"/>
          <w:szCs w:val="28"/>
          <w:lang w:val="en-US" w:eastAsia="zh-CN"/>
        </w:rPr>
        <w:t>门板</w:t>
      </w:r>
      <w:r>
        <w:rPr>
          <w:rFonts w:hint="eastAsia" w:ascii="仿宋" w:hAnsi="仿宋" w:eastAsia="仿宋" w:cs="仿宋"/>
          <w:color w:val="000000"/>
          <w:sz w:val="28"/>
          <w:szCs w:val="28"/>
        </w:rPr>
        <w:t>凹陷位置进行</w:t>
      </w:r>
      <w:r>
        <w:rPr>
          <w:rFonts w:hint="eastAsia" w:ascii="仿宋" w:hAnsi="仿宋" w:eastAsia="仿宋" w:cs="仿宋"/>
          <w:color w:val="000000"/>
          <w:sz w:val="28"/>
          <w:szCs w:val="28"/>
          <w:lang w:val="en-US" w:eastAsia="zh-CN"/>
        </w:rPr>
        <w:t>凹陷修复</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修复平整</w:t>
      </w:r>
      <w:r>
        <w:rPr>
          <w:rFonts w:hint="eastAsia" w:ascii="仿宋" w:hAnsi="仿宋" w:eastAsia="仿宋" w:cs="仿宋"/>
          <w:color w:val="000000"/>
          <w:sz w:val="28"/>
          <w:szCs w:val="28"/>
        </w:rPr>
        <w:t>达到要求（必须运用至少两种维修方法，如胶粘拉拔、工具内顶）。</w:t>
      </w:r>
    </w:p>
    <w:p w14:paraId="08AC88D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eastAsia="zh-CN"/>
        </w:rPr>
      </w:pPr>
      <w:r>
        <w:rPr>
          <w:rFonts w:hint="eastAsia" w:ascii="仿宋" w:hAnsi="仿宋" w:eastAsia="仿宋" w:cs="仿宋"/>
          <w:spacing w:val="-2"/>
          <w:sz w:val="28"/>
          <w:szCs w:val="28"/>
          <w:lang w:val="en-US" w:eastAsia="zh-CN"/>
        </w:rPr>
        <w:t>用大赛</w:t>
      </w:r>
      <w:r>
        <w:rPr>
          <w:rFonts w:hint="eastAsia" w:ascii="仿宋" w:hAnsi="仿宋" w:eastAsia="仿宋" w:cs="仿宋"/>
          <w:spacing w:val="-2"/>
          <w:sz w:val="28"/>
          <w:szCs w:val="28"/>
        </w:rPr>
        <w:t>提供的专用车门门板设置变形，利用凹陷破</w:t>
      </w:r>
      <w:r>
        <w:rPr>
          <w:rFonts w:hint="eastAsia" w:ascii="仿宋" w:hAnsi="仿宋" w:eastAsia="仿宋" w:cs="仿宋"/>
          <w:spacing w:val="-2"/>
          <w:sz w:val="28"/>
          <w:szCs w:val="28"/>
          <w:lang w:val="en-US" w:eastAsia="zh-CN"/>
        </w:rPr>
        <w:t>损</w:t>
      </w:r>
      <w:r>
        <w:rPr>
          <w:rFonts w:hint="eastAsia" w:ascii="仿宋" w:hAnsi="仿宋" w:eastAsia="仿宋" w:cs="仿宋"/>
          <w:spacing w:val="-2"/>
          <w:sz w:val="28"/>
          <w:szCs w:val="28"/>
        </w:rPr>
        <w:t>器制造两个大小不一样的凹陷，较大的凹陷：直径</w:t>
      </w: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rPr>
        <w:t>0mm(±2mm),深度为</w:t>
      </w: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rPr>
        <w:t>mm(±0.</w:t>
      </w: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rPr>
        <w:t>mm)的圆形凹陷，较小的凹陷：直径20mm(±2mm),深度为3mm(±0.</w:t>
      </w: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rPr>
        <w:t>mm)的圆形凹陷</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能够合理运用各种维修工具设备，操作流程规范，修复结果达到要求</w:t>
      </w:r>
      <w:r>
        <w:rPr>
          <w:rFonts w:hint="eastAsia" w:ascii="仿宋" w:hAnsi="仿宋" w:eastAsia="仿宋" w:cs="仿宋"/>
          <w:spacing w:val="-2"/>
          <w:sz w:val="28"/>
          <w:szCs w:val="28"/>
          <w:lang w:eastAsia="zh-CN"/>
        </w:rPr>
        <w:t>。</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9"/>
        <w:gridCol w:w="4365"/>
      </w:tblGrid>
      <w:tr w14:paraId="21C0B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92" w:type="dxa"/>
            <w:vAlign w:val="center"/>
          </w:tcPr>
          <w:p w14:paraId="01ABB18E">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position w:val="-64"/>
                <w:vertAlign w:val="baseline"/>
              </w:rPr>
            </w:pPr>
            <w:r>
              <w:rPr>
                <w:position w:val="-64"/>
              </w:rPr>
              <w:drawing>
                <wp:inline distT="0" distB="0" distL="0" distR="0">
                  <wp:extent cx="2755900" cy="2063115"/>
                  <wp:effectExtent l="0" t="0" r="6350" b="13335"/>
                  <wp:docPr id="44" name="IM 44" descr="C:/Users/Administrator/Desktop/微信图片_20231219163122.jpg微信图片_20231219163122"/>
                  <wp:cNvGraphicFramePr/>
                  <a:graphic xmlns:a="http://schemas.openxmlformats.org/drawingml/2006/main">
                    <a:graphicData uri="http://schemas.openxmlformats.org/drawingml/2006/picture">
                      <pic:pic xmlns:pic="http://schemas.openxmlformats.org/drawingml/2006/picture">
                        <pic:nvPicPr>
                          <pic:cNvPr id="44" name="IM 44" descr="C:/Users/Administrator/Desktop/微信图片_20231219163122.jpg微信图片_20231219163122"/>
                          <pic:cNvPicPr/>
                        </pic:nvPicPr>
                        <pic:blipFill>
                          <a:blip r:embed="rId8"/>
                          <a:srcRect t="104" b="104"/>
                          <a:stretch>
                            <a:fillRect/>
                          </a:stretch>
                        </pic:blipFill>
                        <pic:spPr>
                          <a:xfrm>
                            <a:off x="0" y="0"/>
                            <a:ext cx="2755900" cy="2063115"/>
                          </a:xfrm>
                          <a:prstGeom prst="rect">
                            <a:avLst/>
                          </a:prstGeom>
                        </pic:spPr>
                      </pic:pic>
                    </a:graphicData>
                  </a:graphic>
                </wp:inline>
              </w:drawing>
            </w:r>
          </w:p>
        </w:tc>
        <w:tc>
          <w:tcPr>
            <w:tcW w:w="4373" w:type="dxa"/>
            <w:vAlign w:val="center"/>
          </w:tcPr>
          <w:p w14:paraId="138807A4">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position w:val="-64"/>
                <w:vertAlign w:val="baseline"/>
              </w:rPr>
            </w:pPr>
            <w:r>
              <w:rPr>
                <w:rFonts w:hint="eastAsia" w:ascii="仿宋" w:hAnsi="仿宋" w:eastAsia="仿宋" w:cs="仿宋"/>
                <w:spacing w:val="-2"/>
                <w:sz w:val="28"/>
                <w:szCs w:val="28"/>
              </w:rPr>
              <w:drawing>
                <wp:inline distT="0" distB="0" distL="114300" distR="114300">
                  <wp:extent cx="2028190" cy="1154430"/>
                  <wp:effectExtent l="0" t="0" r="10160" b="7620"/>
                  <wp:docPr id="1" name="图片 1" descr="微信图片_20231219163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1219163118"/>
                          <pic:cNvPicPr>
                            <a:picLocks noChangeAspect="1"/>
                          </pic:cNvPicPr>
                        </pic:nvPicPr>
                        <pic:blipFill>
                          <a:blip r:embed="rId9"/>
                          <a:stretch>
                            <a:fillRect/>
                          </a:stretch>
                        </pic:blipFill>
                        <pic:spPr>
                          <a:xfrm>
                            <a:off x="0" y="0"/>
                            <a:ext cx="2028190" cy="1154430"/>
                          </a:xfrm>
                          <a:prstGeom prst="rect">
                            <a:avLst/>
                          </a:prstGeom>
                        </pic:spPr>
                      </pic:pic>
                    </a:graphicData>
                  </a:graphic>
                </wp:inline>
              </w:drawing>
            </w:r>
            <w:r>
              <w:rPr>
                <w:rFonts w:hint="eastAsia" w:ascii="Arial" w:eastAsia="宋体"/>
                <w:sz w:val="21"/>
                <w:lang w:eastAsia="zh-CN"/>
              </w:rPr>
              <w:drawing>
                <wp:inline distT="0" distB="0" distL="114300" distR="114300">
                  <wp:extent cx="1922780" cy="1078865"/>
                  <wp:effectExtent l="0" t="0" r="1270" b="6985"/>
                  <wp:docPr id="5" name="图片 5" descr="微信图片_20231219163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1219163111"/>
                          <pic:cNvPicPr>
                            <a:picLocks noChangeAspect="1"/>
                          </pic:cNvPicPr>
                        </pic:nvPicPr>
                        <pic:blipFill>
                          <a:blip r:embed="rId10"/>
                          <a:stretch>
                            <a:fillRect/>
                          </a:stretch>
                        </pic:blipFill>
                        <pic:spPr>
                          <a:xfrm>
                            <a:off x="0" y="0"/>
                            <a:ext cx="1922780" cy="1078865"/>
                          </a:xfrm>
                          <a:prstGeom prst="rect">
                            <a:avLst/>
                          </a:prstGeom>
                        </pic:spPr>
                      </pic:pic>
                    </a:graphicData>
                  </a:graphic>
                </wp:inline>
              </w:drawing>
            </w:r>
          </w:p>
        </w:tc>
      </w:tr>
    </w:tbl>
    <w:p w14:paraId="32A43BCF">
      <w:pPr>
        <w:bidi w:val="0"/>
        <w:rPr>
          <w:rFonts w:hint="eastAsia"/>
          <w:lang w:val="en-US" w:eastAsia="zh-CN"/>
        </w:rPr>
      </w:pPr>
    </w:p>
    <w:p w14:paraId="5883D5B4">
      <w:pPr>
        <w:tabs>
          <w:tab w:val="left" w:pos="401"/>
        </w:tabs>
        <w:bidi w:val="0"/>
        <w:ind w:firstLine="280" w:firstLineChars="10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车身门板损伤示意图</w:t>
      </w:r>
    </w:p>
    <w:p w14:paraId="4FAF74AA">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（2）作业要求及考核要点：</w:t>
      </w:r>
    </w:p>
    <w:p w14:paraId="570275E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1）检查凹陷受损情况</w:t>
      </w:r>
    </w:p>
    <w:p w14:paraId="4623C01E">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eastAsia="zh-CN"/>
        </w:rPr>
      </w:pPr>
      <w:r>
        <w:rPr>
          <w:rFonts w:hint="eastAsia" w:ascii="仿宋" w:hAnsi="仿宋" w:eastAsia="仿宋" w:cs="仿宋"/>
          <w:spacing w:val="-2"/>
          <w:sz w:val="28"/>
          <w:szCs w:val="28"/>
        </w:rPr>
        <w:t>查看凹陷漆面表面是否有损伤，漆面是否有暗裂以及开裂</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根据凹陷受损位置，大小以及损伤钣金的结构，选择合适的修复方案。</w:t>
      </w:r>
    </w:p>
    <w:p w14:paraId="2264425E">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2）清洁损伤表面</w:t>
      </w:r>
    </w:p>
    <w:p w14:paraId="384393D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使用无尘布配合脱脂剂对凹陷损伤表面进行脱脂处理，去除凹陷表面脏污和灰尘，增加拉拔垫片的沾合力。</w:t>
      </w:r>
    </w:p>
    <w:p w14:paraId="1F071826">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3）摆放整平灯</w:t>
      </w:r>
    </w:p>
    <w:p w14:paraId="47C2301B">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调节整平灯调节螺母，使灯光与凹陷部件平面夹角应小于90°，整平灯摆放距离凹陷修复面20~30cm处。</w:t>
      </w:r>
    </w:p>
    <w:p w14:paraId="5F2B9E04">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4</w:t>
      </w:r>
      <w:r>
        <w:rPr>
          <w:rFonts w:hint="eastAsia" w:ascii="仿宋" w:hAnsi="仿宋" w:eastAsia="仿宋" w:cs="仿宋"/>
          <w:spacing w:val="-2"/>
          <w:sz w:val="28"/>
          <w:szCs w:val="28"/>
        </w:rPr>
        <w:t>）拉拔工艺修复</w:t>
      </w:r>
    </w:p>
    <w:p w14:paraId="63E9FDD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①将胶棒转入热熔胶枪中，将热熔胶枪垂直放置，预热5分钟左右，直至胶棒完全融化。</w:t>
      </w:r>
    </w:p>
    <w:p w14:paraId="142865CE">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default" w:ascii="仿宋" w:hAnsi="仿宋" w:eastAsia="仿宋" w:cs="仿宋"/>
          <w:spacing w:val="-2"/>
          <w:sz w:val="28"/>
          <w:szCs w:val="28"/>
          <w:lang w:val="en-US" w:eastAsia="zh-CN"/>
        </w:rPr>
      </w:pPr>
      <w:r>
        <w:rPr>
          <w:rFonts w:hint="eastAsia" w:ascii="仿宋" w:hAnsi="仿宋" w:eastAsia="仿宋" w:cs="仿宋"/>
          <w:spacing w:val="-2"/>
          <w:sz w:val="28"/>
          <w:szCs w:val="28"/>
        </w:rPr>
        <w:t>②根据凹陷大小位置选择合适的拉拔垫片，拉拔垫片表面均匀涂抹热熔胶，将拉拔垫片安装至凹陷中心位置，轻轻按压直至热熔胶稍微凝固后松手。</w:t>
      </w:r>
    </w:p>
    <w:p w14:paraId="62C7545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③拉拔器拉拔，左手握住手柄，右手握住滑块，顺拉锤轴向，将滑块向车体外方向撞击，利用滑块冲击力进行拉拔。</w:t>
      </w:r>
    </w:p>
    <w:p w14:paraId="7FD6CE2B">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④清理残胶查看凹陷修复情况，未修复平整则反复拉拔直至达到理想的拉拔效果，拉拔过程中出现高点情况下，使用整平笔配合整平锤进行修复，继续拉拔直至拉拔完成。</w:t>
      </w:r>
    </w:p>
    <w:p w14:paraId="1720A293">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5</w:t>
      </w:r>
      <w:r>
        <w:rPr>
          <w:rFonts w:hint="eastAsia" w:ascii="仿宋" w:hAnsi="仿宋" w:eastAsia="仿宋" w:cs="仿宋"/>
          <w:spacing w:val="-2"/>
          <w:sz w:val="28"/>
          <w:szCs w:val="28"/>
        </w:rPr>
        <w:t>）杠杆工具精修</w:t>
      </w:r>
    </w:p>
    <w:p w14:paraId="7D21D257">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eastAsia="zh-CN"/>
        </w:rPr>
      </w:pPr>
      <w:r>
        <w:rPr>
          <w:rFonts w:hint="eastAsia" w:ascii="仿宋" w:hAnsi="仿宋" w:eastAsia="仿宋" w:cs="仿宋"/>
          <w:spacing w:val="-2"/>
          <w:sz w:val="28"/>
          <w:szCs w:val="28"/>
        </w:rPr>
        <w:t>根据凹陷位置选择合适的杠杆工具进行修复，</w:t>
      </w:r>
      <w:r>
        <w:rPr>
          <w:rFonts w:hint="eastAsia" w:ascii="仿宋" w:hAnsi="仿宋" w:eastAsia="仿宋" w:cs="仿宋"/>
          <w:spacing w:val="-2"/>
          <w:sz w:val="28"/>
          <w:szCs w:val="28"/>
          <w:lang w:val="en-US" w:eastAsia="zh-CN"/>
        </w:rPr>
        <w:t>将杠杆工具在车门门板固定支架上找到支点，通过挤压工具前端，观察车门门板漆面高低变化，调整施加杠杆工具力度大小来进行修复，</w:t>
      </w:r>
      <w:r>
        <w:rPr>
          <w:rFonts w:hint="eastAsia" w:ascii="仿宋" w:hAnsi="仿宋" w:eastAsia="仿宋" w:cs="仿宋"/>
          <w:spacing w:val="-2"/>
          <w:sz w:val="28"/>
          <w:szCs w:val="28"/>
        </w:rPr>
        <w:t>修复过程中高的点位使用整平笔将点位敲击平整，</w:t>
      </w:r>
      <w:r>
        <w:rPr>
          <w:rFonts w:hint="eastAsia" w:ascii="仿宋" w:hAnsi="仿宋" w:eastAsia="仿宋" w:cs="仿宋"/>
          <w:spacing w:val="-2"/>
          <w:sz w:val="28"/>
          <w:szCs w:val="28"/>
          <w:lang w:val="en-US" w:eastAsia="zh-CN"/>
        </w:rPr>
        <w:t>低</w:t>
      </w:r>
      <w:r>
        <w:rPr>
          <w:rFonts w:hint="eastAsia" w:ascii="仿宋" w:hAnsi="仿宋" w:eastAsia="仿宋" w:cs="仿宋"/>
          <w:spacing w:val="-2"/>
          <w:sz w:val="28"/>
          <w:szCs w:val="28"/>
        </w:rPr>
        <w:t>的点位使用杠杆工具</w:t>
      </w:r>
      <w:r>
        <w:rPr>
          <w:rFonts w:hint="eastAsia" w:ascii="仿宋" w:hAnsi="仿宋" w:eastAsia="仿宋" w:cs="仿宋"/>
          <w:spacing w:val="-2"/>
          <w:sz w:val="28"/>
          <w:szCs w:val="28"/>
          <w:lang w:val="en-US" w:eastAsia="zh-CN"/>
        </w:rPr>
        <w:t>继续</w:t>
      </w:r>
      <w:r>
        <w:rPr>
          <w:rFonts w:hint="eastAsia" w:ascii="仿宋" w:hAnsi="仿宋" w:eastAsia="仿宋" w:cs="仿宋"/>
          <w:spacing w:val="-2"/>
          <w:sz w:val="28"/>
          <w:szCs w:val="28"/>
        </w:rPr>
        <w:t>进行挤压修复，反复修复直至凹陷修复平整</w:t>
      </w:r>
      <w:r>
        <w:rPr>
          <w:rFonts w:hint="eastAsia" w:ascii="仿宋" w:hAnsi="仿宋" w:eastAsia="仿宋" w:cs="仿宋"/>
          <w:spacing w:val="-2"/>
          <w:sz w:val="28"/>
          <w:szCs w:val="28"/>
          <w:lang w:eastAsia="zh-CN"/>
        </w:rPr>
        <w:t>。</w:t>
      </w:r>
    </w:p>
    <w:p w14:paraId="70A3857B">
      <w:pPr>
        <w:pStyle w:val="2"/>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left="0"/>
        <w:textAlignment w:val="baseline"/>
        <w:outlineLvl w:val="0"/>
        <w:rPr>
          <w:b/>
          <w:bCs/>
          <w:spacing w:val="3"/>
          <w:sz w:val="31"/>
          <w:szCs w:val="31"/>
        </w:rPr>
      </w:pPr>
      <w:r>
        <w:rPr>
          <w:b/>
          <w:bCs/>
          <w:spacing w:val="3"/>
          <w:sz w:val="31"/>
          <w:szCs w:val="31"/>
        </w:rPr>
        <w:t>四、竞赛方式</w:t>
      </w:r>
    </w:p>
    <w:p w14:paraId="76B99635">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（一）竞赛以团体赛方式线下进行。每支参赛队2名选手，参赛选手须为中等职业学校全日制在籍学生或五年制高职一至三年级 (含三年级）全日制在籍学生。凡在往届全国职业院校技能大赛中获一等奖的选手，不能再参加同一专业类同一组别的比赛。</w:t>
      </w:r>
    </w:p>
    <w:p w14:paraId="252DFBA2">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（二）不得跨校组队，按照各市赛组委会推荐名额报名， 同一所学校参赛队不超过2支；指导教师须为本校专兼职教师，每队限报2名指导教师。</w:t>
      </w:r>
    </w:p>
    <w:p w14:paraId="7E98BD1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五、竞赛流程</w:t>
      </w:r>
    </w:p>
    <w:p w14:paraId="5872E2AC">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汽车车身修复与美容赛项目竞赛从报到日到比赛结束的具体流程安排如表 3 所示（初定，以竞赛指南为准）。</w:t>
      </w:r>
    </w:p>
    <w:p w14:paraId="7A19248F">
      <w:pPr>
        <w:pStyle w:val="2"/>
        <w:spacing w:before="1" w:line="222" w:lineRule="auto"/>
        <w:ind w:left="3434"/>
      </w:pPr>
      <w:r>
        <w:rPr>
          <w:spacing w:val="-8"/>
        </w:rPr>
        <w:t>表</w:t>
      </w:r>
      <w:r>
        <w:rPr>
          <w:spacing w:val="-52"/>
        </w:rPr>
        <w:t xml:space="preserve"> </w:t>
      </w:r>
      <w:r>
        <w:rPr>
          <w:spacing w:val="-8"/>
        </w:rPr>
        <w:t>3</w:t>
      </w:r>
      <w:r>
        <w:rPr>
          <w:spacing w:val="27"/>
        </w:rPr>
        <w:t xml:space="preserve"> </w:t>
      </w:r>
      <w:r>
        <w:rPr>
          <w:spacing w:val="-8"/>
        </w:rPr>
        <w:t>竞赛日程安排</w:t>
      </w:r>
    </w:p>
    <w:p w14:paraId="41D07814">
      <w:pPr>
        <w:spacing w:line="114" w:lineRule="exact"/>
      </w:pPr>
    </w:p>
    <w:tbl>
      <w:tblPr>
        <w:tblStyle w:val="8"/>
        <w:tblW w:w="91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4"/>
        <w:gridCol w:w="1983"/>
        <w:gridCol w:w="1984"/>
        <w:gridCol w:w="2691"/>
        <w:gridCol w:w="1280"/>
      </w:tblGrid>
      <w:tr w14:paraId="48513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194" w:type="dxa"/>
            <w:vAlign w:val="top"/>
          </w:tcPr>
          <w:p w14:paraId="17EB999F">
            <w:pPr>
              <w:pStyle w:val="9"/>
              <w:spacing w:before="176" w:line="224" w:lineRule="auto"/>
              <w:ind w:left="392"/>
            </w:pPr>
            <w:r>
              <w:rPr>
                <w:spacing w:val="-39"/>
              </w:rPr>
              <w:t>日期</w:t>
            </w:r>
          </w:p>
        </w:tc>
        <w:tc>
          <w:tcPr>
            <w:tcW w:w="1983" w:type="dxa"/>
            <w:vAlign w:val="top"/>
          </w:tcPr>
          <w:p w14:paraId="6F803B85">
            <w:pPr>
              <w:pStyle w:val="9"/>
              <w:spacing w:before="176" w:line="224" w:lineRule="auto"/>
              <w:ind w:left="745"/>
            </w:pPr>
            <w:r>
              <w:rPr>
                <w:spacing w:val="-19"/>
              </w:rPr>
              <w:t>时间</w:t>
            </w:r>
          </w:p>
        </w:tc>
        <w:tc>
          <w:tcPr>
            <w:tcW w:w="1984" w:type="dxa"/>
            <w:vAlign w:val="top"/>
          </w:tcPr>
          <w:p w14:paraId="274C06C2">
            <w:pPr>
              <w:pStyle w:val="9"/>
              <w:spacing w:before="176" w:line="224" w:lineRule="auto"/>
              <w:ind w:left="727"/>
            </w:pPr>
            <w:r>
              <w:rPr>
                <w:spacing w:val="-9"/>
              </w:rPr>
              <w:t>事项</w:t>
            </w:r>
          </w:p>
        </w:tc>
        <w:tc>
          <w:tcPr>
            <w:tcW w:w="2691" w:type="dxa"/>
            <w:vAlign w:val="top"/>
          </w:tcPr>
          <w:p w14:paraId="0CB1F592">
            <w:pPr>
              <w:pStyle w:val="9"/>
              <w:spacing w:before="177" w:line="224" w:lineRule="auto"/>
              <w:ind w:left="807"/>
            </w:pPr>
            <w:r>
              <w:rPr>
                <w:spacing w:val="-6"/>
              </w:rPr>
              <w:t>参加人员</w:t>
            </w:r>
          </w:p>
        </w:tc>
        <w:tc>
          <w:tcPr>
            <w:tcW w:w="1280" w:type="dxa"/>
            <w:vAlign w:val="top"/>
          </w:tcPr>
          <w:p w14:paraId="041CCD67">
            <w:pPr>
              <w:pStyle w:val="9"/>
              <w:spacing w:before="177" w:line="224" w:lineRule="auto"/>
              <w:ind w:left="378"/>
            </w:pPr>
            <w:r>
              <w:rPr>
                <w:spacing w:val="-9"/>
              </w:rPr>
              <w:t>地点</w:t>
            </w:r>
          </w:p>
        </w:tc>
      </w:tr>
      <w:tr w14:paraId="4C3C9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94" w:type="dxa"/>
            <w:vMerge w:val="restart"/>
            <w:tcBorders>
              <w:bottom w:val="nil"/>
            </w:tcBorders>
            <w:vAlign w:val="top"/>
          </w:tcPr>
          <w:p w14:paraId="6CDEBDFA">
            <w:pPr>
              <w:spacing w:line="396" w:lineRule="auto"/>
              <w:rPr>
                <w:rFonts w:ascii="Arial"/>
                <w:sz w:val="21"/>
              </w:rPr>
            </w:pPr>
          </w:p>
          <w:p w14:paraId="78865E0F">
            <w:pPr>
              <w:pStyle w:val="9"/>
              <w:spacing w:before="91" w:line="223" w:lineRule="auto"/>
              <w:ind w:left="206"/>
            </w:pPr>
            <w:r>
              <w:rPr>
                <w:spacing w:val="-10"/>
              </w:rPr>
              <w:t>第一天</w:t>
            </w:r>
          </w:p>
        </w:tc>
        <w:tc>
          <w:tcPr>
            <w:tcW w:w="1983" w:type="dxa"/>
            <w:vAlign w:val="top"/>
          </w:tcPr>
          <w:p w14:paraId="1E2CDBEE">
            <w:pPr>
              <w:pStyle w:val="9"/>
              <w:spacing w:before="172"/>
              <w:ind w:left="135"/>
            </w:pPr>
          </w:p>
        </w:tc>
        <w:tc>
          <w:tcPr>
            <w:tcW w:w="1984" w:type="dxa"/>
            <w:vAlign w:val="top"/>
          </w:tcPr>
          <w:p w14:paraId="1ED824C7">
            <w:pPr>
              <w:pStyle w:val="9"/>
              <w:spacing w:before="173" w:line="224" w:lineRule="auto"/>
              <w:ind w:left="446"/>
            </w:pPr>
          </w:p>
        </w:tc>
        <w:tc>
          <w:tcPr>
            <w:tcW w:w="2691" w:type="dxa"/>
            <w:vAlign w:val="top"/>
          </w:tcPr>
          <w:p w14:paraId="324B2414">
            <w:pPr>
              <w:pStyle w:val="9"/>
              <w:spacing w:before="173" w:line="224" w:lineRule="auto"/>
              <w:ind w:left="1081"/>
            </w:pPr>
          </w:p>
        </w:tc>
        <w:tc>
          <w:tcPr>
            <w:tcW w:w="1280" w:type="dxa"/>
            <w:vAlign w:val="top"/>
          </w:tcPr>
          <w:p w14:paraId="6DD8C49D">
            <w:pPr>
              <w:pStyle w:val="9"/>
              <w:spacing w:before="174" w:line="222" w:lineRule="auto"/>
              <w:ind w:left="378"/>
            </w:pPr>
          </w:p>
        </w:tc>
      </w:tr>
      <w:tr w14:paraId="62B69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94" w:type="dxa"/>
            <w:vMerge w:val="continue"/>
            <w:tcBorders>
              <w:top w:val="nil"/>
            </w:tcBorders>
            <w:vAlign w:val="top"/>
          </w:tcPr>
          <w:p w14:paraId="3E06820C">
            <w:pPr>
              <w:rPr>
                <w:rFonts w:ascii="Arial"/>
                <w:sz w:val="21"/>
              </w:rPr>
            </w:pPr>
          </w:p>
        </w:tc>
        <w:tc>
          <w:tcPr>
            <w:tcW w:w="1983" w:type="dxa"/>
            <w:vAlign w:val="top"/>
          </w:tcPr>
          <w:p w14:paraId="082A3DB1">
            <w:pPr>
              <w:pStyle w:val="9"/>
              <w:spacing w:before="173"/>
              <w:ind w:left="135"/>
            </w:pPr>
            <w:r>
              <w:rPr>
                <w:rFonts w:hint="eastAsia"/>
                <w:spacing w:val="-8"/>
                <w:lang w:val="en-US" w:eastAsia="zh-CN"/>
              </w:rPr>
              <w:t>7</w:t>
            </w:r>
            <w:r>
              <w:rPr>
                <w:spacing w:val="-8"/>
              </w:rPr>
              <w:t>：00-</w:t>
            </w:r>
            <w:r>
              <w:rPr>
                <w:rFonts w:hint="eastAsia"/>
                <w:spacing w:val="-8"/>
                <w:lang w:val="en-US" w:eastAsia="zh-CN"/>
              </w:rPr>
              <w:t>7</w:t>
            </w:r>
            <w:r>
              <w:rPr>
                <w:spacing w:val="-8"/>
              </w:rPr>
              <w:t>：</w:t>
            </w:r>
            <w:r>
              <w:rPr>
                <w:rFonts w:hint="eastAsia"/>
                <w:spacing w:val="-8"/>
                <w:lang w:val="en-US" w:eastAsia="zh-CN"/>
              </w:rPr>
              <w:t>5</w:t>
            </w:r>
            <w:r>
              <w:rPr>
                <w:spacing w:val="-8"/>
              </w:rPr>
              <w:t>0</w:t>
            </w:r>
          </w:p>
        </w:tc>
        <w:tc>
          <w:tcPr>
            <w:tcW w:w="1984" w:type="dxa"/>
            <w:vAlign w:val="top"/>
          </w:tcPr>
          <w:p w14:paraId="59665180">
            <w:pPr>
              <w:pStyle w:val="9"/>
              <w:spacing w:before="173" w:line="224" w:lineRule="auto"/>
              <w:ind w:left="176"/>
            </w:pPr>
            <w:r>
              <w:rPr>
                <w:spacing w:val="-5"/>
              </w:rPr>
              <w:t>竞赛场地适应</w:t>
            </w:r>
          </w:p>
        </w:tc>
        <w:tc>
          <w:tcPr>
            <w:tcW w:w="2691" w:type="dxa"/>
            <w:vAlign w:val="top"/>
          </w:tcPr>
          <w:p w14:paraId="23784FBA">
            <w:pPr>
              <w:pStyle w:val="9"/>
              <w:spacing w:before="173" w:line="224" w:lineRule="auto"/>
              <w:ind w:left="807"/>
            </w:pPr>
            <w:r>
              <w:rPr>
                <w:spacing w:val="-6"/>
              </w:rPr>
              <w:t>参赛选手</w:t>
            </w:r>
          </w:p>
        </w:tc>
        <w:tc>
          <w:tcPr>
            <w:tcW w:w="1280" w:type="dxa"/>
            <w:vAlign w:val="top"/>
          </w:tcPr>
          <w:p w14:paraId="612DA701">
            <w:pPr>
              <w:pStyle w:val="9"/>
              <w:spacing w:before="173" w:line="224" w:lineRule="auto"/>
              <w:ind w:left="377"/>
            </w:pPr>
            <w:r>
              <w:rPr>
                <w:spacing w:val="-9"/>
              </w:rPr>
              <w:t>赛场</w:t>
            </w:r>
          </w:p>
        </w:tc>
      </w:tr>
      <w:tr w14:paraId="5448F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194" w:type="dxa"/>
            <w:vAlign w:val="top"/>
          </w:tcPr>
          <w:p w14:paraId="1C6B91D8">
            <w:pPr>
              <w:pStyle w:val="9"/>
              <w:spacing w:before="174" w:line="223" w:lineRule="auto"/>
              <w:ind w:left="206"/>
            </w:pPr>
            <w:r>
              <w:rPr>
                <w:spacing w:val="-4"/>
              </w:rPr>
              <w:t>第</w:t>
            </w:r>
            <w:r>
              <w:rPr>
                <w:rFonts w:hint="eastAsia"/>
                <w:spacing w:val="-4"/>
                <w:lang w:val="en-US" w:eastAsia="zh-CN"/>
              </w:rPr>
              <w:t>一</w:t>
            </w:r>
            <w:r>
              <w:rPr>
                <w:spacing w:val="-4"/>
              </w:rPr>
              <w:t>天</w:t>
            </w:r>
          </w:p>
        </w:tc>
        <w:tc>
          <w:tcPr>
            <w:tcW w:w="1983" w:type="dxa"/>
            <w:vAlign w:val="top"/>
          </w:tcPr>
          <w:p w14:paraId="0ED6009E">
            <w:pPr>
              <w:pStyle w:val="9"/>
              <w:spacing w:before="174"/>
              <w:ind w:left="229"/>
            </w:pPr>
            <w:r>
              <w:rPr>
                <w:rFonts w:hint="eastAsia"/>
                <w:spacing w:val="-2"/>
                <w:lang w:val="en-US" w:eastAsia="zh-CN"/>
              </w:rPr>
              <w:t>8</w:t>
            </w:r>
            <w:r>
              <w:rPr>
                <w:spacing w:val="-2"/>
              </w:rPr>
              <w:t>：</w:t>
            </w:r>
            <w:r>
              <w:rPr>
                <w:rFonts w:hint="eastAsia"/>
                <w:spacing w:val="-2"/>
                <w:lang w:val="en-US" w:eastAsia="zh-CN"/>
              </w:rPr>
              <w:t>0</w:t>
            </w:r>
            <w:r>
              <w:rPr>
                <w:spacing w:val="-2"/>
              </w:rPr>
              <w:t>0-</w:t>
            </w:r>
            <w:r>
              <w:rPr>
                <w:rFonts w:hint="eastAsia"/>
                <w:spacing w:val="-2"/>
                <w:lang w:val="en-US" w:eastAsia="zh-CN"/>
              </w:rPr>
              <w:t>8</w:t>
            </w:r>
            <w:r>
              <w:rPr>
                <w:spacing w:val="-2"/>
              </w:rPr>
              <w:t>：</w:t>
            </w:r>
            <w:r>
              <w:rPr>
                <w:rFonts w:hint="eastAsia"/>
                <w:spacing w:val="-2"/>
                <w:lang w:val="en-US" w:eastAsia="zh-CN"/>
              </w:rPr>
              <w:t>3</w:t>
            </w:r>
            <w:r>
              <w:rPr>
                <w:spacing w:val="-2"/>
              </w:rPr>
              <w:t>0</w:t>
            </w:r>
          </w:p>
        </w:tc>
        <w:tc>
          <w:tcPr>
            <w:tcW w:w="1984" w:type="dxa"/>
            <w:vAlign w:val="top"/>
          </w:tcPr>
          <w:p w14:paraId="4CAE099B">
            <w:pPr>
              <w:pStyle w:val="9"/>
              <w:spacing w:before="174" w:line="221" w:lineRule="auto"/>
              <w:ind w:left="450"/>
            </w:pPr>
            <w:r>
              <w:rPr>
                <w:spacing w:val="-6"/>
              </w:rPr>
              <w:t>选手检录</w:t>
            </w:r>
          </w:p>
        </w:tc>
        <w:tc>
          <w:tcPr>
            <w:tcW w:w="2691" w:type="dxa"/>
            <w:vAlign w:val="top"/>
          </w:tcPr>
          <w:p w14:paraId="1F41498A">
            <w:pPr>
              <w:pStyle w:val="9"/>
              <w:spacing w:before="174" w:line="224" w:lineRule="auto"/>
              <w:ind w:left="807"/>
            </w:pPr>
            <w:r>
              <w:rPr>
                <w:spacing w:val="-6"/>
              </w:rPr>
              <w:t>参赛选手</w:t>
            </w:r>
          </w:p>
        </w:tc>
        <w:tc>
          <w:tcPr>
            <w:tcW w:w="1280" w:type="dxa"/>
            <w:vAlign w:val="top"/>
          </w:tcPr>
          <w:p w14:paraId="255300DB">
            <w:pPr>
              <w:pStyle w:val="9"/>
              <w:spacing w:before="174" w:line="224" w:lineRule="auto"/>
              <w:ind w:left="377"/>
            </w:pPr>
            <w:r>
              <w:rPr>
                <w:spacing w:val="-9"/>
              </w:rPr>
              <w:t>赛场</w:t>
            </w:r>
          </w:p>
        </w:tc>
      </w:tr>
    </w:tbl>
    <w:p w14:paraId="2616D400">
      <w:pPr>
        <w:rPr>
          <w:rFonts w:ascii="Arial"/>
          <w:sz w:val="21"/>
        </w:rPr>
      </w:pPr>
    </w:p>
    <w:p w14:paraId="19E2AEE2">
      <w:pPr>
        <w:rPr>
          <w:rFonts w:ascii="Arial" w:hAnsi="Arial" w:eastAsia="Arial" w:cs="Arial"/>
          <w:sz w:val="21"/>
          <w:szCs w:val="21"/>
        </w:rPr>
        <w:sectPr>
          <w:footerReference r:id="rId5" w:type="default"/>
          <w:pgSz w:w="11906" w:h="16839"/>
          <w:pgMar w:top="1134" w:right="1384" w:bottom="1153" w:left="1384" w:header="0" w:footer="994" w:gutter="0"/>
          <w:pgNumType w:fmt="decimal"/>
          <w:cols w:space="720" w:num="1"/>
        </w:sectPr>
      </w:pPr>
    </w:p>
    <w:tbl>
      <w:tblPr>
        <w:tblStyle w:val="8"/>
        <w:tblW w:w="91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4"/>
        <w:gridCol w:w="1983"/>
        <w:gridCol w:w="1984"/>
        <w:gridCol w:w="2691"/>
        <w:gridCol w:w="1280"/>
      </w:tblGrid>
      <w:tr w14:paraId="7B5F4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0" w:hRule="atLeast"/>
        </w:trPr>
        <w:tc>
          <w:tcPr>
            <w:tcW w:w="1194" w:type="dxa"/>
            <w:vAlign w:val="center"/>
          </w:tcPr>
          <w:p w14:paraId="6DB21E6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tc>
        <w:tc>
          <w:tcPr>
            <w:tcW w:w="1983" w:type="dxa"/>
            <w:vAlign w:val="center"/>
          </w:tcPr>
          <w:p w14:paraId="4F3A116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3B9A604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4B4BB63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rFonts w:hint="eastAsia"/>
                <w:spacing w:val="-2"/>
                <w:lang w:val="en-US" w:eastAsia="zh-CN"/>
              </w:rPr>
              <w:t>9</w:t>
            </w:r>
            <w:r>
              <w:rPr>
                <w:spacing w:val="-2"/>
              </w:rPr>
              <w:t>：</w:t>
            </w:r>
            <w:r>
              <w:rPr>
                <w:rFonts w:hint="eastAsia"/>
                <w:spacing w:val="-2"/>
                <w:lang w:val="en-US" w:eastAsia="zh-CN"/>
              </w:rPr>
              <w:t>0</w:t>
            </w:r>
            <w:r>
              <w:rPr>
                <w:spacing w:val="-2"/>
              </w:rPr>
              <w:t>0-</w:t>
            </w:r>
            <w:r>
              <w:rPr>
                <w:rFonts w:hint="eastAsia"/>
                <w:spacing w:val="-2"/>
                <w:lang w:val="en-US" w:eastAsia="zh-CN"/>
              </w:rPr>
              <w:t>17</w:t>
            </w:r>
            <w:r>
              <w:rPr>
                <w:spacing w:val="-2"/>
              </w:rPr>
              <w:t>：00</w:t>
            </w:r>
          </w:p>
        </w:tc>
        <w:tc>
          <w:tcPr>
            <w:tcW w:w="1984" w:type="dxa"/>
            <w:vAlign w:val="center"/>
          </w:tcPr>
          <w:p w14:paraId="54EF68E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color w:val="00B0F0"/>
                <w:sz w:val="21"/>
              </w:rPr>
            </w:pPr>
          </w:p>
          <w:p w14:paraId="7CC28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color w:val="00B0F0"/>
                <w:sz w:val="21"/>
              </w:rPr>
            </w:pPr>
          </w:p>
          <w:p w14:paraId="7A0B6D3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spacing w:val="-7"/>
                <w:lang w:val="en-US" w:eastAsia="zh-CN"/>
              </w:rPr>
            </w:pPr>
            <w:r>
              <w:rPr>
                <w:spacing w:val="-7"/>
              </w:rPr>
              <w:t>模块 A：</w:t>
            </w:r>
            <w:r>
              <w:rPr>
                <w:rFonts w:hint="eastAsia"/>
                <w:spacing w:val="-7"/>
                <w:lang w:val="en-US" w:eastAsia="zh-CN"/>
              </w:rPr>
              <w:t>汽车门皮凹陷无损修复</w:t>
            </w:r>
          </w:p>
          <w:p w14:paraId="6328BA0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color w:val="00B0F0"/>
                <w:lang w:val="en-US" w:eastAsia="zh-CN"/>
              </w:rPr>
            </w:pPr>
          </w:p>
        </w:tc>
        <w:tc>
          <w:tcPr>
            <w:tcW w:w="2691" w:type="dxa"/>
            <w:vAlign w:val="center"/>
          </w:tcPr>
          <w:p w14:paraId="367FF3B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11E2E79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7"/>
              </w:rPr>
              <w:t>领队、指导教师、参赛选手、专家裁判等</w:t>
            </w:r>
          </w:p>
        </w:tc>
        <w:tc>
          <w:tcPr>
            <w:tcW w:w="1280" w:type="dxa"/>
            <w:vAlign w:val="center"/>
          </w:tcPr>
          <w:p w14:paraId="2BF7F76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32223D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p w14:paraId="1858A2D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9"/>
              </w:rPr>
              <w:t>赛场</w:t>
            </w:r>
          </w:p>
        </w:tc>
      </w:tr>
    </w:tbl>
    <w:p w14:paraId="6C112E41">
      <w:pPr>
        <w:spacing w:line="337" w:lineRule="auto"/>
        <w:rPr>
          <w:rFonts w:ascii="Arial"/>
          <w:sz w:val="21"/>
        </w:rPr>
      </w:pPr>
    </w:p>
    <w:p w14:paraId="4B905F66">
      <w:pPr>
        <w:pStyle w:val="2"/>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left="0"/>
        <w:textAlignment w:val="baseline"/>
        <w:outlineLvl w:val="0"/>
        <w:rPr>
          <w:b/>
          <w:bCs/>
          <w:spacing w:val="3"/>
          <w:sz w:val="31"/>
          <w:szCs w:val="31"/>
        </w:rPr>
      </w:pPr>
      <w:r>
        <w:rPr>
          <w:b/>
          <w:bCs/>
          <w:spacing w:val="3"/>
          <w:sz w:val="31"/>
          <w:szCs w:val="31"/>
        </w:rPr>
        <w:t>六、赛卷说明</w:t>
      </w:r>
    </w:p>
    <w:p w14:paraId="6D2ED07B">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本赛项赛题采用公开赛题模式,赛前由裁判长和仲裁长现场抽签决定比赛赛题。赛题如下：</w:t>
      </w:r>
      <w:bookmarkStart w:id="0" w:name="_GoBack"/>
      <w:bookmarkEnd w:id="0"/>
    </w:p>
    <w:p w14:paraId="42CFFE0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子模块A：汽车车门皮凹陷无损修复</w:t>
      </w:r>
    </w:p>
    <w:p w14:paraId="15103345">
      <w:pPr>
        <w:spacing w:after="0" w:line="611" w:lineRule="exact"/>
        <w:jc w:val="center"/>
        <w:rPr>
          <w:rFonts w:hint="eastAsia" w:ascii="仿宋" w:hAnsi="仿宋" w:eastAsia="仿宋" w:cs="仿宋"/>
          <w:snapToGrid w:val="0"/>
          <w:color w:val="000000"/>
          <w:spacing w:val="2"/>
          <w:kern w:val="0"/>
          <w:sz w:val="28"/>
          <w:szCs w:val="28"/>
          <w:lang w:val="en-US" w:eastAsia="zh-CN" w:bidi="ar-SA"/>
        </w:rPr>
      </w:pPr>
    </w:p>
    <w:p w14:paraId="486852D5">
      <w:pPr>
        <w:spacing w:after="0" w:line="611" w:lineRule="exact"/>
        <w:jc w:val="center"/>
        <w:rPr>
          <w:rFonts w:hint="eastAsia" w:ascii="仿宋" w:hAnsi="仿宋" w:eastAsia="仿宋" w:cs="仿宋"/>
          <w:snapToGrid w:val="0"/>
          <w:color w:val="000000"/>
          <w:spacing w:val="2"/>
          <w:kern w:val="0"/>
          <w:sz w:val="28"/>
          <w:szCs w:val="28"/>
          <w:lang w:val="en-US" w:eastAsia="zh-CN" w:bidi="ar-SA"/>
        </w:rPr>
      </w:pPr>
    </w:p>
    <w:p w14:paraId="034CA218">
      <w:pPr>
        <w:spacing w:after="0" w:line="611" w:lineRule="exact"/>
        <w:jc w:val="center"/>
        <w:rPr>
          <w:rFonts w:hint="eastAsia" w:ascii="仿宋" w:hAnsi="仿宋" w:eastAsia="仿宋" w:cs="仿宋"/>
          <w:snapToGrid w:val="0"/>
          <w:color w:val="000000"/>
          <w:spacing w:val="2"/>
          <w:kern w:val="0"/>
          <w:sz w:val="28"/>
          <w:szCs w:val="28"/>
          <w:lang w:val="en-US" w:eastAsia="zh-CN" w:bidi="ar-SA"/>
        </w:rPr>
      </w:pPr>
    </w:p>
    <w:p w14:paraId="6AB34775">
      <w:pPr>
        <w:spacing w:after="0" w:line="611" w:lineRule="exact"/>
        <w:jc w:val="center"/>
        <w:rPr>
          <w:rFonts w:hint="eastAsia" w:ascii="仿宋" w:hAnsi="仿宋" w:eastAsia="仿宋" w:cs="仿宋"/>
          <w:snapToGrid w:val="0"/>
          <w:color w:val="000000"/>
          <w:spacing w:val="2"/>
          <w:kern w:val="0"/>
          <w:sz w:val="28"/>
          <w:szCs w:val="28"/>
          <w:lang w:val="en-US" w:eastAsia="zh-CN" w:bidi="ar-SA"/>
        </w:rPr>
      </w:pPr>
    </w:p>
    <w:p w14:paraId="3F9703D9">
      <w:pPr>
        <w:spacing w:after="0" w:line="611" w:lineRule="exact"/>
        <w:jc w:val="center"/>
        <w:rPr>
          <w:rFonts w:hint="eastAsia" w:ascii="仿宋" w:hAnsi="仿宋" w:eastAsia="仿宋" w:cs="仿宋"/>
          <w:snapToGrid w:val="0"/>
          <w:color w:val="000000"/>
          <w:spacing w:val="2"/>
          <w:kern w:val="0"/>
          <w:sz w:val="28"/>
          <w:szCs w:val="28"/>
          <w:lang w:val="en-US" w:eastAsia="zh-CN" w:bidi="ar-SA"/>
        </w:rPr>
      </w:pPr>
    </w:p>
    <w:p w14:paraId="4639F334">
      <w:pPr>
        <w:spacing w:after="0" w:line="611" w:lineRule="exact"/>
        <w:jc w:val="center"/>
        <w:rPr>
          <w:rFonts w:hint="default" w:ascii="仿宋" w:hAnsi="仿宋" w:eastAsia="仿宋" w:cs="仿宋"/>
          <w:snapToGrid w:val="0"/>
          <w:color w:val="000000"/>
          <w:spacing w:val="2"/>
          <w:kern w:val="0"/>
          <w:sz w:val="28"/>
          <w:szCs w:val="28"/>
          <w:lang w:val="en-US" w:eastAsia="zh-CN" w:bidi="ar-SA"/>
        </w:rPr>
      </w:pPr>
      <w:r>
        <w:rPr>
          <w:rFonts w:hint="eastAsia" w:ascii="仿宋" w:hAnsi="仿宋" w:eastAsia="仿宋" w:cs="仿宋"/>
          <w:snapToGrid w:val="0"/>
          <w:color w:val="000000"/>
          <w:spacing w:val="2"/>
          <w:kern w:val="0"/>
          <w:sz w:val="28"/>
          <w:szCs w:val="28"/>
          <w:lang w:val="en-US" w:eastAsia="zh-CN" w:bidi="ar-SA"/>
        </w:rPr>
        <w:t>损伤位置设置样题1</w:t>
      </w:r>
    </w:p>
    <w:p w14:paraId="17C693F5">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eastAsia="宋体"/>
          <w:sz w:val="36"/>
          <w:lang w:val="en-US" w:eastAsia="zh-CN"/>
        </w:rPr>
      </w:pPr>
      <w:r>
        <w:rPr>
          <w:rFonts w:hint="eastAsia" w:eastAsia="宋体"/>
          <w:sz w:val="36"/>
          <w:lang w:val="en-US" w:eastAsia="zh-CN"/>
        </w:rPr>
        <w:drawing>
          <wp:inline distT="0" distB="0" distL="114300" distR="114300">
            <wp:extent cx="4653915" cy="2618105"/>
            <wp:effectExtent l="0" t="0" r="13335" b="10795"/>
            <wp:docPr id="8" name="图片 8" descr="样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样题1"/>
                    <pic:cNvPicPr>
                      <a:picLocks noChangeAspect="1"/>
                    </pic:cNvPicPr>
                  </pic:nvPicPr>
                  <pic:blipFill>
                    <a:blip r:embed="rId11"/>
                    <a:stretch>
                      <a:fillRect/>
                    </a:stretch>
                  </pic:blipFill>
                  <pic:spPr>
                    <a:xfrm>
                      <a:off x="0" y="0"/>
                      <a:ext cx="4653915" cy="2618105"/>
                    </a:xfrm>
                    <a:prstGeom prst="rect">
                      <a:avLst/>
                    </a:prstGeom>
                  </pic:spPr>
                </pic:pic>
              </a:graphicData>
            </a:graphic>
          </wp:inline>
        </w:drawing>
      </w:r>
    </w:p>
    <w:p w14:paraId="651DF631">
      <w:pPr>
        <w:spacing w:after="0" w:line="611" w:lineRule="exact"/>
        <w:jc w:val="center"/>
        <w:rPr>
          <w:rFonts w:hint="default" w:ascii="仿宋" w:hAnsi="仿宋" w:eastAsia="仿宋" w:cs="仿宋"/>
          <w:snapToGrid w:val="0"/>
          <w:color w:val="000000"/>
          <w:spacing w:val="2"/>
          <w:kern w:val="0"/>
          <w:sz w:val="28"/>
          <w:szCs w:val="28"/>
          <w:lang w:val="en-US" w:eastAsia="zh-CN" w:bidi="ar-SA"/>
        </w:rPr>
      </w:pPr>
      <w:r>
        <w:rPr>
          <w:rFonts w:hint="eastAsia" w:ascii="仿宋" w:hAnsi="仿宋" w:eastAsia="仿宋" w:cs="仿宋"/>
          <w:snapToGrid w:val="0"/>
          <w:color w:val="000000"/>
          <w:spacing w:val="2"/>
          <w:kern w:val="0"/>
          <w:sz w:val="28"/>
          <w:szCs w:val="28"/>
          <w:lang w:val="en-US" w:eastAsia="zh-CN" w:bidi="ar-SA"/>
        </w:rPr>
        <w:t>损伤位置设置样题2</w:t>
      </w:r>
    </w:p>
    <w:p w14:paraId="302D72F7">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eastAsia="宋体"/>
          <w:sz w:val="36"/>
          <w:lang w:val="en-US" w:eastAsia="zh-CN"/>
        </w:rPr>
      </w:pPr>
      <w:r>
        <w:rPr>
          <w:rFonts w:hint="eastAsia" w:eastAsia="宋体"/>
          <w:sz w:val="36"/>
          <w:lang w:val="en-US" w:eastAsia="zh-CN"/>
        </w:rPr>
        <w:drawing>
          <wp:inline distT="0" distB="0" distL="114300" distR="114300">
            <wp:extent cx="4722495" cy="2656205"/>
            <wp:effectExtent l="0" t="0" r="1905" b="10795"/>
            <wp:docPr id="9" name="图片 9" descr="样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样题2"/>
                    <pic:cNvPicPr>
                      <a:picLocks noChangeAspect="1"/>
                    </pic:cNvPicPr>
                  </pic:nvPicPr>
                  <pic:blipFill>
                    <a:blip r:embed="rId12"/>
                    <a:stretch>
                      <a:fillRect/>
                    </a:stretch>
                  </pic:blipFill>
                  <pic:spPr>
                    <a:xfrm>
                      <a:off x="0" y="0"/>
                      <a:ext cx="4722495" cy="2656205"/>
                    </a:xfrm>
                    <a:prstGeom prst="rect">
                      <a:avLst/>
                    </a:prstGeom>
                  </pic:spPr>
                </pic:pic>
              </a:graphicData>
            </a:graphic>
          </wp:inline>
        </w:drawing>
      </w:r>
    </w:p>
    <w:p w14:paraId="4554C369">
      <w:pPr>
        <w:spacing w:after="0" w:line="611" w:lineRule="exact"/>
        <w:jc w:val="center"/>
        <w:rPr>
          <w:rFonts w:hint="default" w:ascii="仿宋" w:hAnsi="仿宋" w:eastAsia="仿宋" w:cs="仿宋"/>
          <w:snapToGrid w:val="0"/>
          <w:color w:val="000000"/>
          <w:spacing w:val="2"/>
          <w:kern w:val="0"/>
          <w:sz w:val="28"/>
          <w:szCs w:val="28"/>
          <w:lang w:val="en-US" w:eastAsia="zh-CN" w:bidi="ar-SA"/>
        </w:rPr>
      </w:pPr>
      <w:r>
        <w:rPr>
          <w:rFonts w:hint="eastAsia" w:ascii="仿宋" w:hAnsi="仿宋" w:eastAsia="仿宋" w:cs="仿宋"/>
          <w:snapToGrid w:val="0"/>
          <w:color w:val="000000"/>
          <w:spacing w:val="2"/>
          <w:kern w:val="0"/>
          <w:sz w:val="28"/>
          <w:szCs w:val="28"/>
          <w:lang w:val="en-US" w:eastAsia="zh-CN" w:bidi="ar-SA"/>
        </w:rPr>
        <w:t>损伤位置设置样题3</w:t>
      </w:r>
    </w:p>
    <w:p w14:paraId="2DF82867">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eastAsia="宋体"/>
          <w:sz w:val="36"/>
          <w:lang w:val="en-US" w:eastAsia="zh-CN"/>
        </w:rPr>
      </w:pPr>
      <w:r>
        <w:rPr>
          <w:rFonts w:hint="eastAsia" w:eastAsia="宋体"/>
          <w:sz w:val="36"/>
          <w:lang w:val="en-US" w:eastAsia="zh-CN"/>
        </w:rPr>
        <w:drawing>
          <wp:inline distT="0" distB="0" distL="114300" distR="114300">
            <wp:extent cx="4500245" cy="2531110"/>
            <wp:effectExtent l="0" t="0" r="14605" b="2540"/>
            <wp:docPr id="10" name="图片 10" descr="样题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样题3"/>
                    <pic:cNvPicPr>
                      <a:picLocks noChangeAspect="1"/>
                    </pic:cNvPicPr>
                  </pic:nvPicPr>
                  <pic:blipFill>
                    <a:blip r:embed="rId13"/>
                    <a:stretch>
                      <a:fillRect/>
                    </a:stretch>
                  </pic:blipFill>
                  <pic:spPr>
                    <a:xfrm>
                      <a:off x="0" y="0"/>
                      <a:ext cx="4500245" cy="2531110"/>
                    </a:xfrm>
                    <a:prstGeom prst="rect">
                      <a:avLst/>
                    </a:prstGeom>
                  </pic:spPr>
                </pic:pic>
              </a:graphicData>
            </a:graphic>
          </wp:inline>
        </w:drawing>
      </w:r>
    </w:p>
    <w:p w14:paraId="73BB2812">
      <w:pPr>
        <w:spacing w:after="0" w:line="611" w:lineRule="exact"/>
        <w:jc w:val="center"/>
        <w:rPr>
          <w:rFonts w:hint="default" w:ascii="仿宋" w:hAnsi="仿宋" w:eastAsia="仿宋" w:cs="仿宋"/>
          <w:snapToGrid w:val="0"/>
          <w:color w:val="000000"/>
          <w:spacing w:val="2"/>
          <w:kern w:val="0"/>
          <w:sz w:val="28"/>
          <w:szCs w:val="28"/>
          <w:lang w:val="en-US" w:eastAsia="zh-CN" w:bidi="ar-SA"/>
        </w:rPr>
      </w:pPr>
      <w:r>
        <w:rPr>
          <w:rFonts w:hint="eastAsia" w:ascii="仿宋" w:hAnsi="仿宋" w:eastAsia="仿宋" w:cs="仿宋"/>
          <w:snapToGrid w:val="0"/>
          <w:color w:val="000000"/>
          <w:spacing w:val="2"/>
          <w:kern w:val="0"/>
          <w:sz w:val="28"/>
          <w:szCs w:val="28"/>
          <w:lang w:val="en-US" w:eastAsia="zh-CN" w:bidi="ar-SA"/>
        </w:rPr>
        <w:t>损伤位置设置样题4</w:t>
      </w:r>
    </w:p>
    <w:p w14:paraId="029A23D8">
      <w:pPr>
        <w:spacing w:after="0" w:line="611" w:lineRule="exact"/>
        <w:jc w:val="both"/>
        <w:rPr>
          <w:rFonts w:hint="eastAsia" w:eastAsia="宋体"/>
          <w:sz w:val="36"/>
          <w:lang w:val="en-US" w:eastAsia="zh-CN"/>
        </w:rPr>
      </w:pPr>
      <w:r>
        <w:rPr>
          <w:rFonts w:hint="eastAsia" w:eastAsia="宋体"/>
          <w:sz w:val="36"/>
          <w:lang w:val="en-US" w:eastAsia="zh-CN"/>
        </w:rPr>
        <w:drawing>
          <wp:anchor distT="0" distB="0" distL="114300" distR="114300" simplePos="0" relativeHeight="251661312" behindDoc="0" locked="0" layoutInCell="1" allowOverlap="1">
            <wp:simplePos x="0" y="0"/>
            <wp:positionH relativeFrom="column">
              <wp:posOffset>413385</wp:posOffset>
            </wp:positionH>
            <wp:positionV relativeFrom="paragraph">
              <wp:posOffset>41910</wp:posOffset>
            </wp:positionV>
            <wp:extent cx="5038090" cy="2834005"/>
            <wp:effectExtent l="0" t="0" r="10160" b="4445"/>
            <wp:wrapNone/>
            <wp:docPr id="11" name="图片 11" descr="样题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样题4"/>
                    <pic:cNvPicPr>
                      <a:picLocks noChangeAspect="1"/>
                    </pic:cNvPicPr>
                  </pic:nvPicPr>
                  <pic:blipFill>
                    <a:blip r:embed="rId14"/>
                    <a:stretch>
                      <a:fillRect/>
                    </a:stretch>
                  </pic:blipFill>
                  <pic:spPr>
                    <a:xfrm>
                      <a:off x="0" y="0"/>
                      <a:ext cx="5038090" cy="2834005"/>
                    </a:xfrm>
                    <a:prstGeom prst="rect">
                      <a:avLst/>
                    </a:prstGeom>
                  </pic:spPr>
                </pic:pic>
              </a:graphicData>
            </a:graphic>
          </wp:anchor>
        </w:drawing>
      </w:r>
    </w:p>
    <w:p w14:paraId="05A68547">
      <w:pPr>
        <w:spacing w:after="0" w:line="611" w:lineRule="exact"/>
        <w:jc w:val="both"/>
        <w:rPr>
          <w:rFonts w:hint="eastAsia" w:eastAsia="宋体"/>
          <w:sz w:val="36"/>
          <w:lang w:val="en-US" w:eastAsia="zh-CN"/>
        </w:rPr>
      </w:pPr>
    </w:p>
    <w:p w14:paraId="40EC05C8">
      <w:pPr>
        <w:spacing w:after="0" w:line="611" w:lineRule="exact"/>
        <w:jc w:val="both"/>
        <w:rPr>
          <w:rFonts w:hint="eastAsia" w:eastAsia="宋体"/>
          <w:sz w:val="36"/>
          <w:lang w:val="en-US" w:eastAsia="zh-CN"/>
        </w:rPr>
      </w:pPr>
    </w:p>
    <w:p w14:paraId="1421A4D0">
      <w:pPr>
        <w:spacing w:after="0" w:line="611" w:lineRule="exact"/>
        <w:jc w:val="both"/>
        <w:rPr>
          <w:rFonts w:hint="eastAsia" w:eastAsia="宋体"/>
          <w:sz w:val="36"/>
          <w:lang w:val="en-US" w:eastAsia="zh-CN"/>
        </w:rPr>
      </w:pPr>
    </w:p>
    <w:p w14:paraId="3D759A69">
      <w:pPr>
        <w:keepNext w:val="0"/>
        <w:keepLines w:val="0"/>
        <w:pageBreakBefore w:val="0"/>
        <w:widowControl/>
        <w:kinsoku w:val="0"/>
        <w:wordWrap/>
        <w:overflowPunct/>
        <w:topLinePunct w:val="0"/>
        <w:autoSpaceDE w:val="0"/>
        <w:autoSpaceDN w:val="0"/>
        <w:bidi w:val="0"/>
        <w:adjustRightInd w:val="0"/>
        <w:snapToGrid w:val="0"/>
        <w:spacing w:after="0" w:line="240" w:lineRule="auto"/>
        <w:jc w:val="center"/>
        <w:textAlignment w:val="baseline"/>
        <w:rPr>
          <w:rFonts w:hint="eastAsia" w:eastAsia="宋体"/>
          <w:sz w:val="36"/>
          <w:lang w:val="en-US" w:eastAsia="zh-CN"/>
        </w:rPr>
      </w:pPr>
    </w:p>
    <w:p w14:paraId="17B68329">
      <w:pPr>
        <w:spacing w:after="0" w:line="611" w:lineRule="exact"/>
        <w:jc w:val="both"/>
        <w:rPr>
          <w:rFonts w:hint="eastAsia" w:eastAsia="宋体"/>
          <w:sz w:val="36"/>
          <w:lang w:val="en-US" w:eastAsia="zh-CN"/>
        </w:rPr>
      </w:pPr>
    </w:p>
    <w:p w14:paraId="6B81364D">
      <w:pPr>
        <w:spacing w:after="0" w:line="611" w:lineRule="exact"/>
        <w:jc w:val="both"/>
        <w:rPr>
          <w:rFonts w:hint="eastAsia" w:eastAsia="宋体"/>
          <w:sz w:val="36"/>
          <w:lang w:val="en-US" w:eastAsia="zh-CN"/>
        </w:rPr>
      </w:pPr>
    </w:p>
    <w:p w14:paraId="0D3F0C06">
      <w:pPr>
        <w:spacing w:after="0" w:line="611" w:lineRule="exact"/>
        <w:jc w:val="both"/>
        <w:rPr>
          <w:rFonts w:hint="eastAsia" w:eastAsia="宋体"/>
          <w:sz w:val="36"/>
          <w:lang w:val="en-US" w:eastAsia="zh-CN"/>
        </w:rPr>
      </w:pPr>
    </w:p>
    <w:p w14:paraId="3FB9EEBE">
      <w:pPr>
        <w:spacing w:after="0" w:line="611" w:lineRule="exact"/>
        <w:jc w:val="both"/>
        <w:rPr>
          <w:rFonts w:hint="eastAsia" w:ascii="仿宋" w:hAnsi="仿宋" w:eastAsia="仿宋" w:cs="仿宋"/>
          <w:snapToGrid w:val="0"/>
          <w:color w:val="000000"/>
          <w:spacing w:val="2"/>
          <w:kern w:val="0"/>
          <w:sz w:val="28"/>
          <w:szCs w:val="28"/>
          <w:lang w:val="en-US" w:eastAsia="zh-CN" w:bidi="ar-SA"/>
        </w:rPr>
      </w:pPr>
    </w:p>
    <w:p w14:paraId="398BD1A4">
      <w:pPr>
        <w:pStyle w:val="2"/>
        <w:spacing w:before="256" w:line="410" w:lineRule="auto"/>
        <w:ind w:left="49" w:right="31" w:firstLine="563"/>
        <w:jc w:val="both"/>
        <w:rPr>
          <w:rFonts w:hint="eastAsia"/>
          <w:spacing w:val="2"/>
          <w:lang w:val="en-US" w:eastAsia="zh-CN"/>
        </w:rPr>
      </w:pPr>
    </w:p>
    <w:p w14:paraId="533726CC">
      <w:pPr>
        <w:pStyle w:val="2"/>
        <w:spacing w:before="256" w:line="410" w:lineRule="auto"/>
        <w:ind w:left="49" w:right="31" w:firstLine="563"/>
        <w:jc w:val="both"/>
        <w:rPr>
          <w:rFonts w:hint="default"/>
          <w:spacing w:val="2"/>
          <w:lang w:val="en-US" w:eastAsia="zh-CN"/>
        </w:rPr>
      </w:pPr>
    </w:p>
    <w:p w14:paraId="71FBF62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七、竞赛规则</w:t>
      </w:r>
    </w:p>
    <w:p w14:paraId="14D257C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（一）报名要求</w:t>
      </w:r>
    </w:p>
    <w:p w14:paraId="767CABA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1.报名选手的资格为河北省2025-2026学年在籍中等职业学校学生；五年制高职学生报名参赛的，一至三年级(含三年级)学生参加中职组比赛，不限性别。</w:t>
      </w:r>
    </w:p>
    <w:p w14:paraId="0028841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2.凡参加往届全国职业院校技能大赛或世界职业院校技能大赛并获一等奖（金奖）的选手，不允许参加同一专业类赛项的比赛。</w:t>
      </w:r>
    </w:p>
    <w:p w14:paraId="4787C3F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（二）赛前准备</w:t>
      </w:r>
    </w:p>
    <w:p w14:paraId="267ED100">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1.所有参赛选手必须抽签,并按照赛项执委会的安排熟悉场地。</w:t>
      </w:r>
    </w:p>
    <w:p w14:paraId="721DC796">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2.进入比赛现场的参赛选手不得夹带任何参考资料和通讯工具（如手机、平板电脑等）进入考场，若违反规定，则取消比赛成绩。</w:t>
      </w:r>
    </w:p>
    <w:p w14:paraId="06DF393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（三）正式比赛</w:t>
      </w:r>
    </w:p>
    <w:p w14:paraId="3258D816">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1.参赛选手按规定时间进入竞赛场地，在备考区进行抽签，根据统一指令开始竞赛，在竞赛过程中，竞赛选手不要在赛场内快速奔跑，不得大声喧哗和唱报作业内容。</w:t>
      </w:r>
    </w:p>
    <w:p w14:paraId="18379DDF">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竞赛过程中，参赛选手须严格遵守操作规程，确保人身及设备安全，并接受裁判员的监督和警示，竞赛中当有可能出现意外和安全风险时裁判员有权中止比赛；若因选手个人原因造成设备故障，裁判长有权中止或终止比赛；若是因非选手个人原因造成设备故障， 由裁判长视具体情况做出裁决和处理并记录在案。</w:t>
      </w:r>
    </w:p>
    <w:p w14:paraId="69CE3CC0">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3.参赛选手完成实操竞赛后需向裁判人员报告，裁判员停表，并记录比赛时间。</w:t>
      </w:r>
    </w:p>
    <w:p w14:paraId="2AF66DFF">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4.选手提交竞赛成果后，站在竞赛工位外，等待工作人员对竞赛工具及设备进行清点验收方可整队离开赛场。</w:t>
      </w:r>
    </w:p>
    <w:p w14:paraId="51B1ADB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（四）成绩公布</w:t>
      </w:r>
    </w:p>
    <w:p w14:paraId="1727BC9F">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1.所有选手比赛成绩由裁判组打分后送交统计组，再由监督组按要求复核，如发现问题当即向裁判组核实，当值裁判确认后由裁判长签字，再反馈给统计组。</w:t>
      </w:r>
    </w:p>
    <w:p w14:paraId="04E16A1F">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比赛结束当天，成绩由裁判长、仲裁长、督察员签字并经协办学校盖章后上传省赛系统，待省厅大赛办审核通过后在报名平台发布（注：按省厅大赛办工作要求，比赛结束当天协办单位现场及联络群不公布成绩）</w:t>
      </w:r>
    </w:p>
    <w:p w14:paraId="322C544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八、竞赛环境</w:t>
      </w:r>
    </w:p>
    <w:p w14:paraId="5CB87BC6">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依据竞赛模块和相关竞赛内容，本赛项分别设置汽车车门皮凹陷无损修复竞赛区，车门外板自流平底漆、色漆、清漆喷涂竞赛区，汽车车门外板漆面保护膜贴装竞赛区和综合展示竞赛区。其中汽车车门外板自流平底漆、色漆、清漆喷涂竞赛区需符合环保要求和废气排放标准，车门外板车漆保护膜装贴竞赛区确保竞赛场所光线充足、干净、通风等。所有比赛场地环境应符合比赛要求。同时按照竞赛要求设置现场裁判休息区、指导教师休息室、候赛室等场所。</w:t>
      </w:r>
    </w:p>
    <w:p w14:paraId="777F363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九、技术规范</w:t>
      </w:r>
    </w:p>
    <w:p w14:paraId="437A82D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（一）教学标准</w:t>
      </w:r>
    </w:p>
    <w:p w14:paraId="1ABE7DDA">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本赛项参考教学标准：</w:t>
      </w:r>
    </w:p>
    <w:p w14:paraId="6175446B">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1.全国中等职业学校《汽车车身修复》专业简介（2022年修订）；</w:t>
      </w:r>
    </w:p>
    <w:p w14:paraId="441905A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2.全国中等职业学校《汽车美容与装潢》专业简介（2022修订）。</w:t>
      </w:r>
    </w:p>
    <w:p w14:paraId="4579C67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（二）行业标准</w:t>
      </w:r>
    </w:p>
    <w:p w14:paraId="73A6AE28">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 维修手册；</w:t>
      </w:r>
    </w:p>
    <w:p w14:paraId="43C0C593">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2.《事故汽车修复技术规范》（JT/T 795-2011）。</w:t>
      </w:r>
    </w:p>
    <w:p w14:paraId="4B2DF4E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（三）职业技能等级标准</w:t>
      </w:r>
    </w:p>
    <w:p w14:paraId="05588DF7">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1.国家职业技能标准《汽车维修工》（2018年版）之汽车车身整形修复工、汽车车身涂装修复工、汽车美容装潢工等工种职业技能标准制定竞赛项目内容和评价标准；</w:t>
      </w:r>
    </w:p>
    <w:p w14:paraId="1806DF8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2.1+X 证书《汽车车身修护与车架调校技术》职业技能等级证书初级模块和中级模块；</w:t>
      </w:r>
    </w:p>
    <w:p w14:paraId="2053110E">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3.1+X 证书《汽车车身漆面养护与涂装喷漆技术》职业技能等级证书初级模块和中级模块；</w:t>
      </w:r>
    </w:p>
    <w:p w14:paraId="43F2D3D3">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4.1+X 证书《汽车油漆调色与喷涂》职业技能等级证书初级模块和中级模块；</w:t>
      </w:r>
    </w:p>
    <w:p w14:paraId="2429C738">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5.1+X 证书《汽车美容装饰与加装改装技术》初级模块和中级模块。</w:t>
      </w:r>
    </w:p>
    <w:p w14:paraId="3688843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十、技术平台</w:t>
      </w:r>
    </w:p>
    <w:p w14:paraId="55077BE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val="0"/>
          <w:bCs w:val="0"/>
          <w:spacing w:val="-4"/>
        </w:rPr>
      </w:pPr>
      <w:r>
        <w:rPr>
          <w:b w:val="0"/>
          <w:bCs w:val="0"/>
          <w:spacing w:val="-4"/>
        </w:rPr>
        <w:t>（一）选手允许自带设备工具清单见表4。</w:t>
      </w:r>
    </w:p>
    <w:p w14:paraId="6C952F3C">
      <w:pPr>
        <w:pStyle w:val="2"/>
        <w:spacing w:before="289" w:line="221" w:lineRule="auto"/>
        <w:ind w:left="2825"/>
      </w:pPr>
      <w:r>
        <w:rPr>
          <w:spacing w:val="-3"/>
        </w:rPr>
        <w:t>表</w:t>
      </w:r>
      <w:r>
        <w:rPr>
          <w:spacing w:val="-51"/>
        </w:rPr>
        <w:t xml:space="preserve"> </w:t>
      </w:r>
      <w:r>
        <w:rPr>
          <w:spacing w:val="-3"/>
        </w:rPr>
        <w:t>4 允许自带设备工具清单</w:t>
      </w:r>
    </w:p>
    <w:p w14:paraId="1D6036EA">
      <w:pPr>
        <w:spacing w:line="141" w:lineRule="exact"/>
      </w:pPr>
    </w:p>
    <w:tbl>
      <w:tblPr>
        <w:tblStyle w:val="8"/>
        <w:tblW w:w="822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2264"/>
        <w:gridCol w:w="4963"/>
      </w:tblGrid>
      <w:tr w14:paraId="7E84B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98" w:type="dxa"/>
            <w:vAlign w:val="center"/>
          </w:tcPr>
          <w:p w14:paraId="4AA1A56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r>
              <w:rPr>
                <w:spacing w:val="-9"/>
              </w:rPr>
              <w:t>序号</w:t>
            </w:r>
          </w:p>
        </w:tc>
        <w:tc>
          <w:tcPr>
            <w:tcW w:w="2264" w:type="dxa"/>
            <w:vAlign w:val="center"/>
          </w:tcPr>
          <w:p w14:paraId="7DDC17D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r>
              <w:rPr>
                <w:spacing w:val="-10"/>
              </w:rPr>
              <w:t>名称</w:t>
            </w:r>
          </w:p>
        </w:tc>
        <w:tc>
          <w:tcPr>
            <w:tcW w:w="4963" w:type="dxa"/>
            <w:vAlign w:val="center"/>
          </w:tcPr>
          <w:p w14:paraId="0DA0975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r>
              <w:rPr>
                <w:spacing w:val="-8"/>
              </w:rPr>
              <w:t>技术规格</w:t>
            </w:r>
          </w:p>
        </w:tc>
      </w:tr>
      <w:tr w14:paraId="5646B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998" w:type="dxa"/>
            <w:vAlign w:val="center"/>
          </w:tcPr>
          <w:p w14:paraId="1FCB936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position w:val="1"/>
                <w:sz w:val="24"/>
                <w:szCs w:val="24"/>
              </w:rPr>
              <w:t>1</w:t>
            </w:r>
          </w:p>
        </w:tc>
        <w:tc>
          <w:tcPr>
            <w:tcW w:w="2264" w:type="dxa"/>
            <w:vAlign w:val="center"/>
          </w:tcPr>
          <w:p w14:paraId="6B66100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0"/>
                <w:sz w:val="24"/>
                <w:szCs w:val="24"/>
              </w:rPr>
              <w:t>活性炭防护口罩</w:t>
            </w:r>
          </w:p>
        </w:tc>
        <w:tc>
          <w:tcPr>
            <w:tcW w:w="4963" w:type="dxa"/>
            <w:vAlign w:val="center"/>
          </w:tcPr>
          <w:p w14:paraId="34B651C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1"/>
                <w:sz w:val="24"/>
                <w:szCs w:val="24"/>
              </w:rPr>
              <w:t>通用</w:t>
            </w:r>
          </w:p>
        </w:tc>
      </w:tr>
      <w:tr w14:paraId="6ED01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98" w:type="dxa"/>
            <w:vAlign w:val="center"/>
          </w:tcPr>
          <w:p w14:paraId="7937FE4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position w:val="1"/>
                <w:sz w:val="24"/>
                <w:szCs w:val="24"/>
              </w:rPr>
              <w:t>2</w:t>
            </w:r>
          </w:p>
        </w:tc>
        <w:tc>
          <w:tcPr>
            <w:tcW w:w="2264" w:type="dxa"/>
            <w:vAlign w:val="center"/>
          </w:tcPr>
          <w:p w14:paraId="0DC9EEA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9"/>
                <w:sz w:val="24"/>
                <w:szCs w:val="24"/>
              </w:rPr>
              <w:t>安全工作鞋</w:t>
            </w:r>
          </w:p>
        </w:tc>
        <w:tc>
          <w:tcPr>
            <w:tcW w:w="4963" w:type="dxa"/>
            <w:vAlign w:val="center"/>
          </w:tcPr>
          <w:p w14:paraId="3F82564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1"/>
                <w:sz w:val="24"/>
                <w:szCs w:val="24"/>
              </w:rPr>
              <w:t>通用</w:t>
            </w:r>
          </w:p>
        </w:tc>
      </w:tr>
      <w:tr w14:paraId="17B60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98" w:type="dxa"/>
            <w:vAlign w:val="center"/>
          </w:tcPr>
          <w:p w14:paraId="5861FEF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z w:val="24"/>
                <w:szCs w:val="24"/>
              </w:rPr>
              <w:t>3</w:t>
            </w:r>
          </w:p>
        </w:tc>
        <w:tc>
          <w:tcPr>
            <w:tcW w:w="2264" w:type="dxa"/>
            <w:vAlign w:val="center"/>
          </w:tcPr>
          <w:p w14:paraId="62311DF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eastAsia="仿宋"/>
                <w:sz w:val="24"/>
                <w:szCs w:val="24"/>
                <w:lang w:val="en-US" w:eastAsia="zh-CN"/>
              </w:rPr>
            </w:pPr>
            <w:r>
              <w:rPr>
                <w:rFonts w:hint="eastAsia"/>
                <w:sz w:val="24"/>
                <w:szCs w:val="24"/>
                <w:lang w:val="en-US" w:eastAsia="zh-CN"/>
              </w:rPr>
              <w:t>工作服</w:t>
            </w:r>
          </w:p>
        </w:tc>
        <w:tc>
          <w:tcPr>
            <w:tcW w:w="4963" w:type="dxa"/>
            <w:vAlign w:val="center"/>
          </w:tcPr>
          <w:p w14:paraId="7BD61C3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1"/>
                <w:sz w:val="24"/>
                <w:szCs w:val="24"/>
              </w:rPr>
              <w:t>通用</w:t>
            </w:r>
          </w:p>
        </w:tc>
      </w:tr>
      <w:tr w14:paraId="42809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998" w:type="dxa"/>
            <w:vAlign w:val="center"/>
          </w:tcPr>
          <w:p w14:paraId="7354835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position w:val="1"/>
                <w:sz w:val="24"/>
                <w:szCs w:val="24"/>
              </w:rPr>
              <w:t>4</w:t>
            </w:r>
          </w:p>
        </w:tc>
        <w:tc>
          <w:tcPr>
            <w:tcW w:w="2264" w:type="dxa"/>
            <w:vAlign w:val="center"/>
          </w:tcPr>
          <w:p w14:paraId="5CE63FE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eastAsia="仿宋"/>
                <w:sz w:val="24"/>
                <w:szCs w:val="24"/>
                <w:lang w:val="en-US" w:eastAsia="zh-CN"/>
              </w:rPr>
            </w:pPr>
            <w:r>
              <w:rPr>
                <w:rFonts w:hint="eastAsia"/>
                <w:sz w:val="24"/>
                <w:szCs w:val="24"/>
                <w:lang w:val="en-US" w:eastAsia="zh-CN"/>
              </w:rPr>
              <w:t>所有修复工具</w:t>
            </w:r>
          </w:p>
        </w:tc>
        <w:tc>
          <w:tcPr>
            <w:tcW w:w="4963" w:type="dxa"/>
            <w:vAlign w:val="center"/>
          </w:tcPr>
          <w:p w14:paraId="78A609C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1"/>
                <w:sz w:val="24"/>
                <w:szCs w:val="24"/>
              </w:rPr>
              <w:t>通用</w:t>
            </w:r>
          </w:p>
        </w:tc>
      </w:tr>
      <w:tr w14:paraId="28F89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98" w:type="dxa"/>
            <w:vAlign w:val="center"/>
          </w:tcPr>
          <w:p w14:paraId="5F42D1D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z w:val="24"/>
                <w:szCs w:val="24"/>
              </w:rPr>
              <w:t>5</w:t>
            </w:r>
          </w:p>
        </w:tc>
        <w:tc>
          <w:tcPr>
            <w:tcW w:w="2264" w:type="dxa"/>
            <w:vAlign w:val="center"/>
          </w:tcPr>
          <w:p w14:paraId="6824979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p>
        </w:tc>
        <w:tc>
          <w:tcPr>
            <w:tcW w:w="4963" w:type="dxa"/>
            <w:vAlign w:val="center"/>
          </w:tcPr>
          <w:p w14:paraId="2159DC8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p>
        </w:tc>
      </w:tr>
      <w:tr w14:paraId="4B7CE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98" w:type="dxa"/>
            <w:vAlign w:val="center"/>
          </w:tcPr>
          <w:p w14:paraId="6F3734C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z w:val="24"/>
                <w:szCs w:val="24"/>
              </w:rPr>
              <w:t>6</w:t>
            </w:r>
          </w:p>
        </w:tc>
        <w:tc>
          <w:tcPr>
            <w:tcW w:w="2264" w:type="dxa"/>
            <w:vAlign w:val="center"/>
          </w:tcPr>
          <w:p w14:paraId="03527BE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p>
        </w:tc>
        <w:tc>
          <w:tcPr>
            <w:tcW w:w="4963" w:type="dxa"/>
            <w:vAlign w:val="center"/>
          </w:tcPr>
          <w:p w14:paraId="1382F50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p>
        </w:tc>
      </w:tr>
      <w:tr w14:paraId="7513B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998" w:type="dxa"/>
            <w:vAlign w:val="center"/>
          </w:tcPr>
          <w:p w14:paraId="54FDD6C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z w:val="24"/>
                <w:szCs w:val="24"/>
              </w:rPr>
              <w:t>7</w:t>
            </w:r>
          </w:p>
        </w:tc>
        <w:tc>
          <w:tcPr>
            <w:tcW w:w="2264" w:type="dxa"/>
            <w:vAlign w:val="center"/>
          </w:tcPr>
          <w:p w14:paraId="59ADBC6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p>
        </w:tc>
        <w:tc>
          <w:tcPr>
            <w:tcW w:w="4963" w:type="dxa"/>
            <w:vAlign w:val="center"/>
          </w:tcPr>
          <w:p w14:paraId="5E97C4A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p>
        </w:tc>
      </w:tr>
      <w:tr w14:paraId="3A3D8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998" w:type="dxa"/>
            <w:vAlign w:val="center"/>
          </w:tcPr>
          <w:p w14:paraId="0289AA1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z w:val="24"/>
                <w:szCs w:val="24"/>
              </w:rPr>
              <w:t>8</w:t>
            </w:r>
          </w:p>
        </w:tc>
        <w:tc>
          <w:tcPr>
            <w:tcW w:w="2264" w:type="dxa"/>
            <w:vAlign w:val="center"/>
          </w:tcPr>
          <w:p w14:paraId="531D71B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p>
        </w:tc>
        <w:tc>
          <w:tcPr>
            <w:tcW w:w="4963" w:type="dxa"/>
            <w:vAlign w:val="center"/>
          </w:tcPr>
          <w:p w14:paraId="6A5E2F2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p>
        </w:tc>
      </w:tr>
      <w:tr w14:paraId="73C5F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98" w:type="dxa"/>
            <w:vAlign w:val="center"/>
          </w:tcPr>
          <w:p w14:paraId="525CE69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z w:val="24"/>
                <w:szCs w:val="24"/>
              </w:rPr>
              <w:t>9</w:t>
            </w:r>
          </w:p>
        </w:tc>
        <w:tc>
          <w:tcPr>
            <w:tcW w:w="2264" w:type="dxa"/>
            <w:vAlign w:val="center"/>
          </w:tcPr>
          <w:p w14:paraId="7EFF290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p>
        </w:tc>
        <w:tc>
          <w:tcPr>
            <w:tcW w:w="4963" w:type="dxa"/>
            <w:vAlign w:val="center"/>
          </w:tcPr>
          <w:p w14:paraId="73D5922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p>
        </w:tc>
      </w:tr>
      <w:tr w14:paraId="3EFF5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998" w:type="dxa"/>
            <w:vAlign w:val="center"/>
          </w:tcPr>
          <w:p w14:paraId="2E57252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4"/>
                <w:sz w:val="24"/>
                <w:szCs w:val="24"/>
              </w:rPr>
              <w:t>10</w:t>
            </w:r>
          </w:p>
        </w:tc>
        <w:tc>
          <w:tcPr>
            <w:tcW w:w="2264" w:type="dxa"/>
            <w:vAlign w:val="center"/>
          </w:tcPr>
          <w:p w14:paraId="121EED3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p>
        </w:tc>
        <w:tc>
          <w:tcPr>
            <w:tcW w:w="4963" w:type="dxa"/>
            <w:vAlign w:val="center"/>
          </w:tcPr>
          <w:p w14:paraId="2E2F6CB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p>
        </w:tc>
      </w:tr>
      <w:tr w14:paraId="54316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998" w:type="dxa"/>
            <w:vAlign w:val="center"/>
          </w:tcPr>
          <w:p w14:paraId="481CB7E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4"/>
                <w:position w:val="1"/>
                <w:sz w:val="24"/>
                <w:szCs w:val="24"/>
              </w:rPr>
              <w:t>11</w:t>
            </w:r>
          </w:p>
        </w:tc>
        <w:tc>
          <w:tcPr>
            <w:tcW w:w="2264" w:type="dxa"/>
            <w:vAlign w:val="center"/>
          </w:tcPr>
          <w:p w14:paraId="28F31A6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p>
        </w:tc>
        <w:tc>
          <w:tcPr>
            <w:tcW w:w="4963" w:type="dxa"/>
            <w:vAlign w:val="center"/>
          </w:tcPr>
          <w:p w14:paraId="6920E69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p>
        </w:tc>
      </w:tr>
      <w:tr w14:paraId="06114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998" w:type="dxa"/>
            <w:vAlign w:val="center"/>
          </w:tcPr>
          <w:p w14:paraId="52BB434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r>
              <w:rPr>
                <w:spacing w:val="-14"/>
                <w:position w:val="1"/>
                <w:sz w:val="24"/>
                <w:szCs w:val="24"/>
              </w:rPr>
              <w:t>12</w:t>
            </w:r>
          </w:p>
        </w:tc>
        <w:tc>
          <w:tcPr>
            <w:tcW w:w="2264" w:type="dxa"/>
            <w:vAlign w:val="center"/>
          </w:tcPr>
          <w:p w14:paraId="64D73FD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p>
        </w:tc>
        <w:tc>
          <w:tcPr>
            <w:tcW w:w="4963" w:type="dxa"/>
            <w:vAlign w:val="center"/>
          </w:tcPr>
          <w:p w14:paraId="27E9A81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4"/>
                <w:szCs w:val="24"/>
              </w:rPr>
            </w:pPr>
          </w:p>
        </w:tc>
      </w:tr>
    </w:tbl>
    <w:p w14:paraId="749A9B49">
      <w:pPr>
        <w:pStyle w:val="2"/>
        <w:spacing w:before="172" w:line="360" w:lineRule="auto"/>
        <w:ind w:left="232"/>
        <w:outlineLvl w:val="1"/>
        <w:rPr>
          <w:spacing w:val="-2"/>
        </w:rPr>
      </w:pPr>
      <w:r>
        <w:rPr>
          <w:spacing w:val="1"/>
        </w:rPr>
        <w:t>（二）协办学校提供相应比赛设备设施，具体如表5</w:t>
      </w:r>
      <w:r>
        <w:rPr>
          <w:spacing w:val="-46"/>
        </w:rPr>
        <w:t xml:space="preserve"> </w:t>
      </w:r>
      <w:r>
        <w:rPr>
          <w:spacing w:val="1"/>
        </w:rPr>
        <w:t>所示。</w:t>
      </w:r>
    </w:p>
    <w:p w14:paraId="1EF66F3E">
      <w:pPr>
        <w:pStyle w:val="2"/>
        <w:spacing w:before="287" w:line="222" w:lineRule="auto"/>
        <w:ind w:left="1374"/>
      </w:pPr>
      <w:r>
        <w:rPr>
          <w:spacing w:val="-2"/>
        </w:rPr>
        <w:t>表</w:t>
      </w:r>
      <w:r>
        <w:rPr>
          <w:spacing w:val="-47"/>
        </w:rPr>
        <w:t xml:space="preserve"> </w:t>
      </w:r>
      <w:r>
        <w:rPr>
          <w:spacing w:val="-2"/>
        </w:rPr>
        <w:t>5 协办学校提供的比赛设备工具耗材一览表</w:t>
      </w:r>
    </w:p>
    <w:p w14:paraId="537F7060">
      <w:pPr>
        <w:spacing w:line="115" w:lineRule="exact"/>
      </w:pPr>
    </w:p>
    <w:tbl>
      <w:tblPr>
        <w:tblStyle w:val="8"/>
        <w:tblW w:w="8655" w:type="dxa"/>
        <w:tblInd w:w="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2"/>
        <w:gridCol w:w="2027"/>
        <w:gridCol w:w="1743"/>
        <w:gridCol w:w="1674"/>
        <w:gridCol w:w="1999"/>
      </w:tblGrid>
      <w:tr w14:paraId="6A8E4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212" w:type="dxa"/>
            <w:vAlign w:val="center"/>
          </w:tcPr>
          <w:p w14:paraId="6034479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b/>
                <w:bCs/>
                <w:spacing w:val="-3"/>
              </w:rPr>
            </w:pPr>
            <w:r>
              <w:rPr>
                <w:b/>
                <w:bCs/>
                <w:spacing w:val="-3"/>
              </w:rPr>
              <w:t>一</w:t>
            </w:r>
          </w:p>
        </w:tc>
        <w:tc>
          <w:tcPr>
            <w:tcW w:w="7443" w:type="dxa"/>
            <w:gridSpan w:val="4"/>
            <w:vAlign w:val="center"/>
          </w:tcPr>
          <w:p w14:paraId="76BEDF5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b/>
                <w:bCs/>
                <w:spacing w:val="-3"/>
              </w:rPr>
            </w:pPr>
            <w:r>
              <w:rPr>
                <w:rFonts w:hint="eastAsia"/>
                <w:b/>
                <w:bCs/>
                <w:spacing w:val="-3"/>
                <w:lang w:val="en-US" w:eastAsia="zh-CN"/>
              </w:rPr>
              <w:t>汽车车门皮凹陷无损修复</w:t>
            </w:r>
          </w:p>
        </w:tc>
      </w:tr>
      <w:tr w14:paraId="0AC9E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12" w:type="dxa"/>
            <w:vAlign w:val="center"/>
          </w:tcPr>
          <w:p w14:paraId="41E1EC1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b/>
                <w:bCs/>
                <w:spacing w:val="-13"/>
              </w:rPr>
              <w:t>编号</w:t>
            </w:r>
          </w:p>
        </w:tc>
        <w:tc>
          <w:tcPr>
            <w:tcW w:w="2027" w:type="dxa"/>
            <w:vAlign w:val="center"/>
          </w:tcPr>
          <w:p w14:paraId="2F12401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b/>
                <w:bCs/>
                <w:spacing w:val="-7"/>
              </w:rPr>
              <w:t>器材名称</w:t>
            </w:r>
          </w:p>
        </w:tc>
        <w:tc>
          <w:tcPr>
            <w:tcW w:w="1743" w:type="dxa"/>
            <w:vAlign w:val="center"/>
          </w:tcPr>
          <w:p w14:paraId="4BB561F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b/>
                <w:bCs/>
                <w:spacing w:val="-9"/>
              </w:rPr>
              <w:t>型号及规格</w:t>
            </w:r>
          </w:p>
        </w:tc>
        <w:tc>
          <w:tcPr>
            <w:tcW w:w="1674" w:type="dxa"/>
            <w:vAlign w:val="center"/>
          </w:tcPr>
          <w:p w14:paraId="52D6CFE4">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b/>
                <w:bCs/>
                <w:spacing w:val="-11"/>
              </w:rPr>
              <w:t>数量</w:t>
            </w:r>
          </w:p>
        </w:tc>
        <w:tc>
          <w:tcPr>
            <w:tcW w:w="1999" w:type="dxa"/>
            <w:vAlign w:val="center"/>
          </w:tcPr>
          <w:p w14:paraId="1B2C045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b/>
                <w:bCs/>
                <w:spacing w:val="-13"/>
              </w:rPr>
              <w:t>备注</w:t>
            </w:r>
          </w:p>
        </w:tc>
      </w:tr>
      <w:tr w14:paraId="12AF3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212" w:type="dxa"/>
            <w:vAlign w:val="center"/>
          </w:tcPr>
          <w:p w14:paraId="4C27509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z w:val="28"/>
                <w:szCs w:val="28"/>
              </w:rPr>
            </w:pPr>
            <w:r>
              <w:rPr>
                <w:position w:val="2"/>
                <w:sz w:val="28"/>
                <w:szCs w:val="28"/>
              </w:rPr>
              <w:t>1</w:t>
            </w:r>
          </w:p>
        </w:tc>
        <w:tc>
          <w:tcPr>
            <w:tcW w:w="2027" w:type="dxa"/>
            <w:vAlign w:val="center"/>
          </w:tcPr>
          <w:p w14:paraId="138F140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sz w:val="28"/>
                <w:szCs w:val="28"/>
              </w:rPr>
            </w:pPr>
            <w:r>
              <w:rPr>
                <w:rFonts w:hint="eastAsia"/>
                <w:spacing w:val="-4"/>
                <w:sz w:val="28"/>
                <w:szCs w:val="28"/>
                <w:lang w:val="en-US" w:eastAsia="zh-CN"/>
              </w:rPr>
              <w:t>车门皮</w:t>
            </w:r>
          </w:p>
        </w:tc>
        <w:tc>
          <w:tcPr>
            <w:tcW w:w="1743" w:type="dxa"/>
            <w:vAlign w:val="center"/>
          </w:tcPr>
          <w:p w14:paraId="4D40A04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sz w:val="28"/>
                <w:szCs w:val="28"/>
              </w:rPr>
            </w:pPr>
            <w:r>
              <w:rPr>
                <w:rFonts w:hint="eastAsia"/>
                <w:spacing w:val="-4"/>
                <w:sz w:val="28"/>
                <w:szCs w:val="28"/>
                <w:lang w:val="en-US" w:eastAsia="zh-CN"/>
              </w:rPr>
              <w:t>不带面漆清漆</w:t>
            </w:r>
          </w:p>
        </w:tc>
        <w:tc>
          <w:tcPr>
            <w:tcW w:w="1674" w:type="dxa"/>
            <w:vAlign w:val="center"/>
          </w:tcPr>
          <w:p w14:paraId="1D2FD91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sz w:val="28"/>
                <w:szCs w:val="28"/>
              </w:rPr>
            </w:pPr>
            <w:r>
              <w:rPr>
                <w:spacing w:val="-9"/>
                <w:sz w:val="28"/>
                <w:szCs w:val="28"/>
              </w:rPr>
              <w:t>若干</w:t>
            </w:r>
          </w:p>
        </w:tc>
        <w:tc>
          <w:tcPr>
            <w:tcW w:w="1999" w:type="dxa"/>
            <w:vAlign w:val="center"/>
          </w:tcPr>
          <w:p w14:paraId="228D74B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sz w:val="28"/>
                <w:szCs w:val="28"/>
              </w:rPr>
            </w:pPr>
            <w:r>
              <w:rPr>
                <w:spacing w:val="-5"/>
                <w:sz w:val="28"/>
                <w:szCs w:val="28"/>
              </w:rPr>
              <w:t>校方提供</w:t>
            </w:r>
          </w:p>
        </w:tc>
      </w:tr>
      <w:tr w14:paraId="22EFC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212" w:type="dxa"/>
            <w:vAlign w:val="center"/>
          </w:tcPr>
          <w:p w14:paraId="197A910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eastAsia="仿宋"/>
                <w:sz w:val="28"/>
                <w:szCs w:val="28"/>
                <w:lang w:val="en-US" w:eastAsia="zh-CN"/>
              </w:rPr>
            </w:pPr>
            <w:r>
              <w:rPr>
                <w:rFonts w:hint="eastAsia"/>
                <w:sz w:val="28"/>
                <w:szCs w:val="28"/>
                <w:lang w:val="en-US" w:eastAsia="zh-CN"/>
              </w:rPr>
              <w:t>2</w:t>
            </w:r>
          </w:p>
        </w:tc>
        <w:tc>
          <w:tcPr>
            <w:tcW w:w="2027" w:type="dxa"/>
            <w:vAlign w:val="center"/>
          </w:tcPr>
          <w:p w14:paraId="3BEAEBE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sz w:val="28"/>
                <w:szCs w:val="28"/>
              </w:rPr>
            </w:pPr>
            <w:r>
              <w:rPr>
                <w:rFonts w:hint="eastAsia"/>
                <w:spacing w:val="-4"/>
                <w:sz w:val="28"/>
                <w:szCs w:val="28"/>
                <w:lang w:val="en-US" w:eastAsia="zh-CN"/>
              </w:rPr>
              <w:t>PU劳保手套</w:t>
            </w:r>
          </w:p>
        </w:tc>
        <w:tc>
          <w:tcPr>
            <w:tcW w:w="1743" w:type="dxa"/>
            <w:vAlign w:val="center"/>
          </w:tcPr>
          <w:p w14:paraId="0E5C46D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sz w:val="28"/>
                <w:szCs w:val="28"/>
              </w:rPr>
            </w:pPr>
            <w:r>
              <w:rPr>
                <w:rFonts w:hint="eastAsia"/>
                <w:spacing w:val="-4"/>
                <w:sz w:val="28"/>
                <w:szCs w:val="28"/>
                <w:lang w:val="en-US" w:eastAsia="zh-CN"/>
              </w:rPr>
              <w:t>PU涂指手套</w:t>
            </w:r>
          </w:p>
        </w:tc>
        <w:tc>
          <w:tcPr>
            <w:tcW w:w="1674" w:type="dxa"/>
            <w:vAlign w:val="center"/>
          </w:tcPr>
          <w:p w14:paraId="09A52B4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sz w:val="28"/>
                <w:szCs w:val="28"/>
              </w:rPr>
            </w:pPr>
            <w:r>
              <w:rPr>
                <w:rFonts w:hint="eastAsia"/>
                <w:spacing w:val="-50"/>
                <w:sz w:val="28"/>
                <w:szCs w:val="28"/>
                <w:lang w:val="en-US" w:eastAsia="zh-CN"/>
              </w:rPr>
              <w:t>5</w:t>
            </w:r>
            <w:r>
              <w:rPr>
                <w:spacing w:val="-50"/>
                <w:sz w:val="28"/>
                <w:szCs w:val="28"/>
              </w:rPr>
              <w:t xml:space="preserve"> </w:t>
            </w:r>
            <w:r>
              <w:rPr>
                <w:rFonts w:hint="eastAsia"/>
                <w:spacing w:val="-50"/>
                <w:sz w:val="28"/>
                <w:szCs w:val="28"/>
                <w:lang w:val="en-US" w:eastAsia="zh-CN"/>
              </w:rPr>
              <w:t>包</w:t>
            </w:r>
          </w:p>
        </w:tc>
        <w:tc>
          <w:tcPr>
            <w:tcW w:w="1999" w:type="dxa"/>
            <w:vAlign w:val="center"/>
          </w:tcPr>
          <w:p w14:paraId="79BF080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sz w:val="28"/>
                <w:szCs w:val="28"/>
              </w:rPr>
            </w:pPr>
            <w:r>
              <w:rPr>
                <w:spacing w:val="-5"/>
                <w:sz w:val="28"/>
                <w:szCs w:val="28"/>
              </w:rPr>
              <w:t>校方提供</w:t>
            </w:r>
          </w:p>
        </w:tc>
      </w:tr>
      <w:tr w14:paraId="00480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12" w:type="dxa"/>
            <w:shd w:val="clear" w:color="auto" w:fill="auto"/>
            <w:vAlign w:val="center"/>
          </w:tcPr>
          <w:p w14:paraId="0E3115D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仿宋" w:hAnsi="仿宋" w:eastAsia="仿宋" w:cs="仿宋"/>
                <w:snapToGrid w:val="0"/>
                <w:color w:val="000000"/>
                <w:kern w:val="0"/>
                <w:sz w:val="28"/>
                <w:szCs w:val="28"/>
                <w:lang w:val="en-US" w:eastAsia="zh-CN" w:bidi="ar-SA"/>
              </w:rPr>
            </w:pPr>
            <w:r>
              <w:rPr>
                <w:rFonts w:hint="eastAsia" w:cs="仿宋"/>
                <w:snapToGrid w:val="0"/>
                <w:color w:val="000000"/>
                <w:kern w:val="0"/>
                <w:sz w:val="28"/>
                <w:szCs w:val="28"/>
                <w:lang w:val="en-US" w:eastAsia="zh-CN" w:bidi="ar-SA"/>
              </w:rPr>
              <w:t>3</w:t>
            </w:r>
          </w:p>
        </w:tc>
        <w:tc>
          <w:tcPr>
            <w:tcW w:w="2027" w:type="dxa"/>
            <w:shd w:val="clear" w:color="auto" w:fill="auto"/>
            <w:vAlign w:val="center"/>
          </w:tcPr>
          <w:p w14:paraId="0711180D">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lang w:val="en-US" w:eastAsia="zh-CN" w:bidi="ar-SA"/>
              </w:rPr>
            </w:pPr>
            <w:r>
              <w:rPr>
                <w:rFonts w:hint="eastAsia"/>
                <w:spacing w:val="-4"/>
                <w:sz w:val="28"/>
                <w:szCs w:val="28"/>
                <w:lang w:val="en-US" w:eastAsia="zh-CN"/>
              </w:rPr>
              <w:t>除油布</w:t>
            </w:r>
          </w:p>
        </w:tc>
        <w:tc>
          <w:tcPr>
            <w:tcW w:w="1743" w:type="dxa"/>
            <w:shd w:val="clear" w:color="auto" w:fill="auto"/>
            <w:vAlign w:val="center"/>
          </w:tcPr>
          <w:p w14:paraId="6C8A955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lang w:val="en-US" w:eastAsia="zh-CN" w:bidi="ar-SA"/>
              </w:rPr>
            </w:pPr>
            <w:r>
              <w:rPr>
                <w:rFonts w:hint="eastAsia"/>
                <w:spacing w:val="-4"/>
                <w:sz w:val="28"/>
                <w:szCs w:val="28"/>
                <w:lang w:val="en-US" w:eastAsia="zh-CN"/>
              </w:rPr>
              <w:t>蓝色300片每箱</w:t>
            </w:r>
          </w:p>
        </w:tc>
        <w:tc>
          <w:tcPr>
            <w:tcW w:w="1674" w:type="dxa"/>
            <w:shd w:val="clear" w:color="auto" w:fill="auto"/>
            <w:vAlign w:val="center"/>
          </w:tcPr>
          <w:p w14:paraId="1480FC1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8"/>
                <w:szCs w:val="28"/>
                <w:lang w:val="en-US" w:eastAsia="zh-CN" w:bidi="ar-SA"/>
              </w:rPr>
            </w:pPr>
            <w:r>
              <w:rPr>
                <w:rFonts w:hint="eastAsia"/>
                <w:sz w:val="28"/>
                <w:szCs w:val="28"/>
                <w:lang w:val="en-US" w:eastAsia="zh-CN"/>
              </w:rPr>
              <w:t>3箱</w:t>
            </w:r>
          </w:p>
        </w:tc>
        <w:tc>
          <w:tcPr>
            <w:tcW w:w="1999" w:type="dxa"/>
            <w:shd w:val="clear" w:color="auto" w:fill="auto"/>
            <w:vAlign w:val="center"/>
          </w:tcPr>
          <w:p w14:paraId="03138073">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仿宋" w:hAnsi="仿宋" w:eastAsia="仿宋" w:cs="仿宋"/>
                <w:snapToGrid w:val="0"/>
                <w:color w:val="000000"/>
                <w:kern w:val="0"/>
                <w:sz w:val="28"/>
                <w:szCs w:val="28"/>
                <w:lang w:val="en-US" w:eastAsia="en-US" w:bidi="ar-SA"/>
              </w:rPr>
            </w:pPr>
            <w:r>
              <w:rPr>
                <w:spacing w:val="-19"/>
                <w:sz w:val="28"/>
                <w:szCs w:val="28"/>
              </w:rPr>
              <w:t>校方提供</w:t>
            </w:r>
          </w:p>
        </w:tc>
      </w:tr>
      <w:tr w14:paraId="050EE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212" w:type="dxa"/>
            <w:shd w:val="clear" w:color="auto" w:fill="auto"/>
            <w:vAlign w:val="center"/>
          </w:tcPr>
          <w:p w14:paraId="1FF90A5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仿宋" w:hAnsi="仿宋" w:eastAsia="仿宋" w:cs="仿宋"/>
                <w:snapToGrid w:val="0"/>
                <w:color w:val="000000"/>
                <w:kern w:val="0"/>
                <w:sz w:val="28"/>
                <w:szCs w:val="28"/>
                <w:lang w:val="en-US" w:eastAsia="zh-CN" w:bidi="ar-SA"/>
              </w:rPr>
            </w:pPr>
          </w:p>
        </w:tc>
        <w:tc>
          <w:tcPr>
            <w:tcW w:w="2027" w:type="dxa"/>
            <w:shd w:val="clear" w:color="auto" w:fill="auto"/>
            <w:vAlign w:val="center"/>
          </w:tcPr>
          <w:p w14:paraId="17B9FC4A">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napToGrid w:val="0"/>
                <w:color w:val="000000"/>
                <w:kern w:val="0"/>
                <w:sz w:val="28"/>
                <w:szCs w:val="28"/>
                <w:lang w:val="en-US" w:eastAsia="zh-CN" w:bidi="ar-SA"/>
              </w:rPr>
            </w:pPr>
          </w:p>
        </w:tc>
        <w:tc>
          <w:tcPr>
            <w:tcW w:w="1743" w:type="dxa"/>
            <w:shd w:val="clear" w:color="auto" w:fill="auto"/>
            <w:vAlign w:val="center"/>
          </w:tcPr>
          <w:p w14:paraId="65E036F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napToGrid w:val="0"/>
                <w:color w:val="000000"/>
                <w:kern w:val="0"/>
                <w:sz w:val="28"/>
                <w:szCs w:val="28"/>
                <w:lang w:val="en-US" w:eastAsia="zh-CN" w:bidi="ar-SA"/>
              </w:rPr>
            </w:pPr>
          </w:p>
        </w:tc>
        <w:tc>
          <w:tcPr>
            <w:tcW w:w="1674" w:type="dxa"/>
            <w:shd w:val="clear" w:color="auto" w:fill="auto"/>
            <w:vAlign w:val="center"/>
          </w:tcPr>
          <w:p w14:paraId="7993435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firstLineChars="0"/>
              <w:jc w:val="center"/>
              <w:textAlignment w:val="baseline"/>
              <w:rPr>
                <w:rFonts w:hint="eastAsia" w:ascii="仿宋" w:hAnsi="仿宋" w:eastAsia="仿宋" w:cs="仿宋"/>
                <w:snapToGrid w:val="0"/>
                <w:color w:val="000000"/>
                <w:kern w:val="0"/>
                <w:sz w:val="28"/>
                <w:szCs w:val="28"/>
                <w:lang w:val="en-US" w:eastAsia="zh-CN" w:bidi="ar-SA"/>
              </w:rPr>
            </w:pPr>
          </w:p>
        </w:tc>
        <w:tc>
          <w:tcPr>
            <w:tcW w:w="1999" w:type="dxa"/>
            <w:shd w:val="clear" w:color="auto" w:fill="auto"/>
            <w:vAlign w:val="center"/>
          </w:tcPr>
          <w:p w14:paraId="1257C28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仿宋" w:hAnsi="仿宋" w:eastAsia="仿宋" w:cs="仿宋"/>
                <w:snapToGrid w:val="0"/>
                <w:color w:val="000000"/>
                <w:kern w:val="0"/>
                <w:sz w:val="28"/>
                <w:szCs w:val="28"/>
                <w:lang w:val="en-US" w:eastAsia="en-US" w:bidi="ar-SA"/>
              </w:rPr>
            </w:pPr>
          </w:p>
        </w:tc>
      </w:tr>
    </w:tbl>
    <w:p w14:paraId="4D91BE9D">
      <w:pPr>
        <w:spacing w:line="221" w:lineRule="auto"/>
      </w:pPr>
    </w:p>
    <w:p w14:paraId="6E6F0D24">
      <w:pPr>
        <w:spacing w:line="221" w:lineRule="auto"/>
      </w:pPr>
    </w:p>
    <w:p w14:paraId="5665E78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十一、成绩评定</w:t>
      </w:r>
    </w:p>
    <w:p w14:paraId="6DF5B9D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pPr>
      <w:r>
        <w:rPr>
          <w:b/>
          <w:bCs/>
          <w:spacing w:val="-5"/>
        </w:rPr>
        <w:t>（一）评分方法</w:t>
      </w:r>
    </w:p>
    <w:p w14:paraId="1D219EE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outlineLvl w:val="1"/>
      </w:pPr>
      <w:r>
        <w:t>1.竞赛评分</w:t>
      </w:r>
    </w:p>
    <w:p w14:paraId="04E12C7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由裁判组集体评分，即每个项目由裁判组综合评议后进行评分。裁判组根据评分标准对过程和结果进行评判。所有选手的评分表由裁判签字，再由裁判长审核后签字确认；基于公平公正和裁判组人员身份保密等方面考虑，第一个模块比赛和第二个模块比赛相对独立，同时两个模块的比赛原则上应由不同裁判组执裁。</w:t>
      </w:r>
    </w:p>
    <w:p w14:paraId="5C14FB9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在竞赛成绩和名次上报系统前，需裁判长、仲裁组和赛项督察签字确认。</w:t>
      </w:r>
    </w:p>
    <w:p w14:paraId="4E62FB9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outlineLvl w:val="1"/>
      </w:pPr>
      <w:r>
        <w:t>2.计分与排名</w:t>
      </w:r>
    </w:p>
    <w:p w14:paraId="120237F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按团队选手总成绩由高到低排序。总成绩相同则以本赛项总用时短的名次在前，如总用时相同，以车身非结构件损伤修复项目的成绩高低排序。</w:t>
      </w:r>
    </w:p>
    <w:p w14:paraId="722B49C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b/>
          <w:bCs/>
          <w:spacing w:val="-5"/>
        </w:rPr>
      </w:pPr>
      <w:r>
        <w:rPr>
          <w:b/>
          <w:bCs/>
          <w:spacing w:val="-5"/>
        </w:rPr>
        <w:t>（二）评分细则</w:t>
      </w:r>
    </w:p>
    <w:p w14:paraId="384DB41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outlineLvl w:val="1"/>
      </w:pPr>
      <w:r>
        <w:t>1．第一模块 技能测试</w:t>
      </w:r>
    </w:p>
    <w:p w14:paraId="5347890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outlineLvl w:val="1"/>
        <w:rPr>
          <w:rFonts w:hint="eastAsia"/>
          <w:lang w:val="en-US" w:eastAsia="zh-CN"/>
        </w:rPr>
      </w:pPr>
      <w:r>
        <w:rPr>
          <w:rFonts w:hint="eastAsia"/>
          <w:lang w:val="en-US" w:eastAsia="zh-CN"/>
        </w:rPr>
        <w:t>（1）子模块 A：汽车车门皮凹陷无损修复（占总分值 100%）。</w:t>
      </w:r>
    </w:p>
    <w:p w14:paraId="6204C1A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outlineLvl w:val="1"/>
        <w:rPr>
          <w:rFonts w:hint="eastAsia"/>
          <w:lang w:val="en-US" w:eastAsia="zh-CN"/>
        </w:rPr>
      </w:pPr>
      <w:r>
        <w:rPr>
          <w:rFonts w:hint="eastAsia"/>
          <w:lang w:val="en-US" w:eastAsia="zh-CN"/>
        </w:rPr>
        <w:t>表7 汽车车门皮凹陷无损修复修复评分细则</w:t>
      </w:r>
    </w:p>
    <w:p w14:paraId="3EDFC64E">
      <w:pPr>
        <w:spacing w:line="119" w:lineRule="exact"/>
      </w:pPr>
    </w:p>
    <w:tbl>
      <w:tblPr>
        <w:tblStyle w:val="8"/>
        <w:tblW w:w="8415" w:type="dxa"/>
        <w:tblInd w:w="3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5"/>
        <w:gridCol w:w="1706"/>
        <w:gridCol w:w="4694"/>
      </w:tblGrid>
      <w:tr w14:paraId="0BA54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015" w:type="dxa"/>
            <w:vAlign w:val="center"/>
          </w:tcPr>
          <w:p w14:paraId="50605DB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b/>
                <w:bCs/>
                <w:spacing w:val="-12"/>
              </w:rPr>
              <w:t>项目</w:t>
            </w:r>
          </w:p>
        </w:tc>
        <w:tc>
          <w:tcPr>
            <w:tcW w:w="1706" w:type="dxa"/>
            <w:vAlign w:val="center"/>
          </w:tcPr>
          <w:p w14:paraId="27CB5E5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b/>
                <w:bCs/>
                <w:spacing w:val="-8"/>
              </w:rPr>
              <w:t>分值比例</w:t>
            </w:r>
          </w:p>
        </w:tc>
        <w:tc>
          <w:tcPr>
            <w:tcW w:w="4694" w:type="dxa"/>
            <w:vAlign w:val="center"/>
          </w:tcPr>
          <w:p w14:paraId="3479D26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b/>
                <w:bCs/>
                <w:spacing w:val="-8"/>
              </w:rPr>
              <w:t>评分标准</w:t>
            </w:r>
          </w:p>
        </w:tc>
      </w:tr>
      <w:tr w14:paraId="714A2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2015" w:type="dxa"/>
            <w:vAlign w:val="center"/>
          </w:tcPr>
          <w:p w14:paraId="22C2F5A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5"/>
              </w:rPr>
              <w:t>工艺流程及维</w:t>
            </w:r>
            <w:r>
              <w:rPr>
                <w:spacing w:val="-6"/>
              </w:rPr>
              <w:t>修质量</w:t>
            </w:r>
          </w:p>
        </w:tc>
        <w:tc>
          <w:tcPr>
            <w:tcW w:w="1706" w:type="dxa"/>
            <w:vAlign w:val="center"/>
          </w:tcPr>
          <w:p w14:paraId="396B7938">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5"/>
              </w:rPr>
              <w:t>70%</w:t>
            </w:r>
          </w:p>
        </w:tc>
        <w:tc>
          <w:tcPr>
            <w:tcW w:w="4694" w:type="dxa"/>
            <w:vAlign w:val="center"/>
          </w:tcPr>
          <w:p w14:paraId="5129E72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维修区域板面不能高于原表面，不能</w:t>
            </w:r>
            <w:r>
              <w:rPr>
                <w:spacing w:val="-10"/>
              </w:rPr>
              <w:t>低于原表面</w:t>
            </w:r>
            <w:r>
              <w:rPr>
                <w:spacing w:val="-40"/>
              </w:rPr>
              <w:t xml:space="preserve"> </w:t>
            </w:r>
            <w:r>
              <w:rPr>
                <w:spacing w:val="-10"/>
              </w:rPr>
              <w:t>1mm，板面不能出现孔洞，</w:t>
            </w:r>
            <w:r>
              <w:rPr>
                <w:spacing w:val="-2"/>
              </w:rPr>
              <w:t>板面平整度符合规范</w:t>
            </w:r>
          </w:p>
        </w:tc>
      </w:tr>
      <w:tr w14:paraId="6BF3F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015" w:type="dxa"/>
            <w:vAlign w:val="center"/>
          </w:tcPr>
          <w:p w14:paraId="14AB0BB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5"/>
              </w:rPr>
              <w:t>设备操作</w:t>
            </w:r>
          </w:p>
        </w:tc>
        <w:tc>
          <w:tcPr>
            <w:tcW w:w="1706" w:type="dxa"/>
            <w:vAlign w:val="center"/>
          </w:tcPr>
          <w:p w14:paraId="120B371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4"/>
              </w:rPr>
              <w:t>20%</w:t>
            </w:r>
          </w:p>
        </w:tc>
        <w:tc>
          <w:tcPr>
            <w:tcW w:w="4694" w:type="dxa"/>
            <w:vAlign w:val="center"/>
          </w:tcPr>
          <w:p w14:paraId="53CE379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整形工具及组合工具使用符合规范</w:t>
            </w:r>
          </w:p>
        </w:tc>
      </w:tr>
      <w:tr w14:paraId="7A97C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2015" w:type="dxa"/>
            <w:vAlign w:val="center"/>
          </w:tcPr>
          <w:p w14:paraId="7A933100">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8"/>
              </w:rPr>
              <w:t>5S</w:t>
            </w:r>
            <w:r>
              <w:rPr>
                <w:spacing w:val="-53"/>
              </w:rPr>
              <w:t xml:space="preserve"> </w:t>
            </w:r>
            <w:r>
              <w:rPr>
                <w:spacing w:val="-8"/>
              </w:rPr>
              <w:t>规范</w:t>
            </w:r>
          </w:p>
        </w:tc>
        <w:tc>
          <w:tcPr>
            <w:tcW w:w="1706" w:type="dxa"/>
            <w:vAlign w:val="center"/>
          </w:tcPr>
          <w:p w14:paraId="2B96868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10"/>
              </w:rPr>
              <w:t>10%</w:t>
            </w:r>
          </w:p>
        </w:tc>
        <w:tc>
          <w:tcPr>
            <w:tcW w:w="4694" w:type="dxa"/>
            <w:vAlign w:val="center"/>
          </w:tcPr>
          <w:p w14:paraId="3F21BFF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符合安全操作规程；工、量具摆放整齐；遵守赛场纪律，尊重赛场工作人员，爱惜赛场的设备和器材，保持工</w:t>
            </w:r>
            <w:r>
              <w:rPr>
                <w:spacing w:val="-5"/>
              </w:rPr>
              <w:t>位的整洁</w:t>
            </w:r>
          </w:p>
        </w:tc>
      </w:tr>
    </w:tbl>
    <w:p w14:paraId="4453BDFB">
      <w:pPr>
        <w:spacing w:line="350" w:lineRule="auto"/>
        <w:rPr>
          <w:rFonts w:ascii="Arial"/>
          <w:sz w:val="21"/>
        </w:rPr>
      </w:pPr>
    </w:p>
    <w:p w14:paraId="0B214B9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十二、奖项设定</w:t>
      </w:r>
    </w:p>
    <w:p w14:paraId="18ECE820">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学生赛设团队奖，教师赛设个人奖，获奖总名额不超过报名总量的50%。1.学生团队或教师个人报名满10队（人）的，分设一、二、三等奖和优胜奖，各占5%、10%、15%、20%，小数点后四舍五入。2.学生团队或教师个人报名不足10个队（人）的，设一、二、三等奖各1个，50%限额内剩余名额可增设优胜奖。学生团队一、二等奖指导教师获优秀指导教师证书。</w:t>
      </w:r>
    </w:p>
    <w:p w14:paraId="2088C19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培育赛项不举行教师赛、不设奖项和等次、不发证书，其余赛项均为师生同赛。</w:t>
      </w:r>
    </w:p>
    <w:p w14:paraId="2BA17F28">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p>
    <w:p w14:paraId="48037A5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十三、赛项安全</w:t>
      </w:r>
    </w:p>
    <w:p w14:paraId="6BC41A4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赛事安全是技能竞赛一切工作顺利开展的先决条件，是赛事筹备和运行工作必须考虑的核心问题。赛项执委会采取切实有效措施保证大赛期间参赛选手、指导教师、裁判员、工作人员及观众的人身安全。</w:t>
      </w:r>
    </w:p>
    <w:p w14:paraId="14A57157">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执委会须在赛前组织专人对比赛现场、住宿场所和交通保障进行考察，并对安全工作提出明确要求。赛场的布置，赛场内的器材、设备，应符合国家有关安全规定。对赛场进行仿真模拟测试，以发现可能出现的问题。承办单位赛前须按照执委会要求排除安全隐患。</w:t>
      </w:r>
    </w:p>
    <w:p w14:paraId="20F80B0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赛场周围要设立警戒线，要求所有参赛人员必须凭执委会印发的有效证件进入场地，防止无关人员进入发生意外事件。比赛现场内应参照相关职业岗位的要求为选手提供必要的劳动保护。在具有危险性的操作环节，裁判员要严防选手出现错误操作。</w:t>
      </w:r>
    </w:p>
    <w:p w14:paraId="1520793A">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3.承办单位应提供保证应急预案实施的条件。对于比赛内容涉及高空作业、可能有坠物、大用电量、易发生火灾等情况的赛项，必须明确制度和预案，并配备急救人员与设施。</w:t>
      </w:r>
    </w:p>
    <w:p w14:paraId="195500B6">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4.严格控制与参赛无关的易燃易爆以及各类危险品进入比赛场地，不许随便携带书包进入赛场。</w:t>
      </w:r>
    </w:p>
    <w:p w14:paraId="2FFE8E93">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5.配备先进的仪器，防止有人利用电磁波干扰比赛秩序。大赛现场需对赛场进行网络安全控制，以免场内外信息交互，充分体现大赛的严肃、公平和公正性。</w:t>
      </w:r>
    </w:p>
    <w:p w14:paraId="3CE2324F">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6.执委会须会同承办单位制定开放赛场和体验区的人员疏导方案。赛场环境中存在人员密集、车流人流交错的区域，除了设置齐全的指示标志外，须增加引导人员，并开辟备用通道。</w:t>
      </w:r>
    </w:p>
    <w:p w14:paraId="7DA372D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十四、竞赛须知</w:t>
      </w:r>
    </w:p>
    <w:p w14:paraId="50A415B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（一）参赛队须知</w:t>
      </w:r>
    </w:p>
    <w:p w14:paraId="61EC7666">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1.参赛队名称统一使用学校名称。</w:t>
      </w:r>
    </w:p>
    <w:p w14:paraId="7D08AF5C">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 参赛队选手应于赛前购买个人人身意外保险。比赛期间保险应处于生效时段。在报到时出示保险单，方准参加比赛。</w:t>
      </w:r>
    </w:p>
    <w:p w14:paraId="5A346C3B">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3.竞赛期间参赛队员着工作服参赛（工作服不得出现学校名称等信息相关的标识），根据比赛项目穿戴好安全防护用品，其他自带物品参考技术平台要求。</w:t>
      </w:r>
    </w:p>
    <w:p w14:paraId="75A9F2B2">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4.参赛队按照大赛赛程安排，凭赛项参赛证、身份证、学生证检录后参加比赛相关活动。</w:t>
      </w:r>
    </w:p>
    <w:p w14:paraId="42F0F92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5.参赛队员应自觉遵守赛场纪律，服从裁判、听从指挥、文明竞赛；持证进入赛场，禁止将通讯工具、 自编电子或文字资料带入赛场。</w:t>
      </w:r>
    </w:p>
    <w:p w14:paraId="183EFE0C">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6.比赛过程中，参赛选手须严格遵守操作过程和相关准则，保证设备及人身安全，并接受裁判员的监督和警示；若因设备故障导致选手中断或终止比赛，由大赛裁判长视具体情况做出裁决。</w:t>
      </w:r>
    </w:p>
    <w:p w14:paraId="7AB755A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7.在比赛过程中，参赛选手由于操作失误导致设备不能正常工作，或造成安全事故不能进行比赛的，将被终止比赛。</w:t>
      </w:r>
    </w:p>
    <w:p w14:paraId="6ACA4226">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8.在比赛过程中，各参赛选手限定在自己的工作区域和岗位完成比赛任务。</w:t>
      </w:r>
    </w:p>
    <w:p w14:paraId="183FDB5A">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9.若参赛队欲提前结束比赛，应向裁判员举手示意，比赛终止时间由裁判员记录，参赛队结束比赛后不得再进行任何操作。</w:t>
      </w:r>
    </w:p>
    <w:p w14:paraId="3DC65E6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（二）参赛选手须知</w:t>
      </w:r>
    </w:p>
    <w:p w14:paraId="0B89A9F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1.严格遵守技能竞赛规则、技能竞赛纪律和安全操作规程，尊重裁判和赛场工作人员， 自觉维护赛场秩序。</w:t>
      </w:r>
    </w:p>
    <w:p w14:paraId="07FDDE3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2.严格遵守赛事时间规定，准时抵达检录区，在开赛 15 分钟后不准入场，开赛后未经允许不得擅自离开赛场。</w:t>
      </w:r>
    </w:p>
    <w:p w14:paraId="764D8EA5">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3.竞赛结束时间到，应立即停止一切竞赛内容操作，不得拖延竞赛时间。竞赛完成后必须听从工作人员引导迅速离开赛场，不得在赛场内滞留。</w:t>
      </w:r>
    </w:p>
    <w:p w14:paraId="1AEB5314">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4.爱护竞赛场所的设备、仪器等，不得人为损坏竞赛用仪器设备。</w:t>
      </w:r>
    </w:p>
    <w:p w14:paraId="7536416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（三）指导老师须知</w:t>
      </w:r>
    </w:p>
    <w:p w14:paraId="26F24998">
      <w:pPr>
        <w:bidi w:val="0"/>
        <w:ind w:firstLine="221" w:firstLineChars="0"/>
        <w:jc w:val="left"/>
      </w:pPr>
    </w:p>
    <w:p w14:paraId="0A205383">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1.各参赛代表队指导教师要发扬良好道德风尚，听从指挥，服从裁判，不弄虚作假。指导教师经报名、审核后确定，一经确定不得更换。如发现弄虚作假者，取消参赛资格，名次无效。</w:t>
      </w:r>
    </w:p>
    <w:p w14:paraId="0C6BCF28">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2.在比赛阶段，不允许指导教师上场指导，禁止使用通讯工具。</w:t>
      </w:r>
    </w:p>
    <w:p w14:paraId="438D0C74">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3.各代表队指导教师和领队要坚决执行比赛的各项规定，加强对参赛人员的管理，做好赛前准备和安全培训、教育工作，督促选手带好证件。</w:t>
      </w:r>
    </w:p>
    <w:p w14:paraId="79C2C0D5">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4.参赛选手对裁判等工作人员的工作有异议时，必须在2 小时内由领队提出书面申诉报告送交赛项仲裁组。口头报告或其他人员要求解释处理，仲裁组不予受理。</w:t>
      </w:r>
    </w:p>
    <w:p w14:paraId="1CB1D3A4">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5.对申诉的仲裁结果，领队和指导教师应带头服从和执行，还应说服选手服从和执行。</w:t>
      </w:r>
    </w:p>
    <w:p w14:paraId="2CCD50E7">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6.指导教师应认真研究和掌握本赛项比赛的技术规则和赛场要求，指导选手做好赛前的一切技术准备和安全教育。</w:t>
      </w:r>
    </w:p>
    <w:p w14:paraId="2E775CE5">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7.领队和指导教师应在赛后做好技术总结和工作总结。</w:t>
      </w:r>
    </w:p>
    <w:p w14:paraId="4B914DD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（四）工作人员须知</w:t>
      </w:r>
    </w:p>
    <w:p w14:paraId="588832A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1.工作人员检录时，选手凭有效证件，按时参加检录和竞赛，如不能按时参赛以自动弃权处理。</w:t>
      </w:r>
    </w:p>
    <w:p w14:paraId="397992EE">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2.严格时间管理，选手在开赛信号发出后才能进行技能竞赛，竞赛过程中，选手休息、饮水或去洗手间等所用时间，一律计算在操作时间内，饮用水由赛场统一准备，认真做好服务工作。</w:t>
      </w:r>
    </w:p>
    <w:p w14:paraId="5E4D883F">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3.提醒选手不允许将通讯工具、个人资料等带入赛场，如私自带入者，一经发现取消其竞赛资格。</w:t>
      </w:r>
    </w:p>
    <w:p w14:paraId="7D4A47D3">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4.赛场内保持安静，不准吸烟，负责各自赛位的裁判员和工作人员不得随意进入其他赛位。</w:t>
      </w:r>
    </w:p>
    <w:p w14:paraId="60732E00">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5.如果选手提前结束竞赛，应向裁判员示意，竞赛终止时间由裁判员记录在案。</w:t>
      </w:r>
    </w:p>
    <w:p w14:paraId="204DE91F">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6.竞赛终了信号发出后，监督选手听从裁判员指挥，待裁判允许后方可离开赛场。</w:t>
      </w:r>
    </w:p>
    <w:p w14:paraId="25F3BF9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7.所有工作人员必须统一佩戴由赛项承办校签发的相应证件，着装整齐，赛场除现场工作人员以外，其他人员未经允许不得进入赛场。</w:t>
      </w:r>
    </w:p>
    <w:p w14:paraId="4C97408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8.新闻媒体等进入赛场必须经过承办校允许，并且听从现场工作人员的安排和管理，不能影响竞赛进行。</w:t>
      </w:r>
    </w:p>
    <w:p w14:paraId="3AFF8C17">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9.各参赛队的领队、指导教师以及其他无关人员未经允许一律不得进入赛场；经允许进入赛场的人员，应遵从赛场相关工作人员安排，同时遵守赛场规定和维护赛场秩序，若违反有关规定或影响选手竞赛的，工作人员有权将其请出，并给予通报批评。</w:t>
      </w:r>
    </w:p>
    <w:p w14:paraId="409B4E8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outlineLvl w:val="1"/>
        <w:rPr>
          <w:b/>
          <w:bCs/>
          <w:spacing w:val="-4"/>
        </w:rPr>
      </w:pPr>
      <w:r>
        <w:rPr>
          <w:b/>
          <w:bCs/>
          <w:spacing w:val="-4"/>
        </w:rPr>
        <w:t>（五）裁判员须知</w:t>
      </w:r>
    </w:p>
    <w:p w14:paraId="3C2E947B">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1.尊重大赛组委会和执委会，尊重专家、监督和仲裁，尊重参赛单位和选手，客观、公正地履行职责。</w:t>
      </w:r>
    </w:p>
    <w:p w14:paraId="1EF8250E">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2.遵守职业道德，遵守大赛纪律，在确定大赛裁判身份后至大赛结束前，不私下接触参赛单位和个人，不参与以大赛名义举办的收费培训，不收受他人的财物或其他好处。</w:t>
      </w:r>
    </w:p>
    <w:p w14:paraId="142EB2F8">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3.遵守赛题管理规定，严守相关的保密协议，不透露与大赛有关的涉密信息。</w:t>
      </w:r>
    </w:p>
    <w:p w14:paraId="14D1E54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4.遵守公正、公平原则，不干预其他裁判员工作，影响比赛成绩。</w:t>
      </w:r>
    </w:p>
    <w:p w14:paraId="60C38FD8">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5.不为参赛选手或单位的违纪行为说情、开脱。</w:t>
      </w:r>
    </w:p>
    <w:p w14:paraId="34588D0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6.不发表、不传播没有根据并对大赛产生不利影响的言论。</w:t>
      </w:r>
    </w:p>
    <w:p w14:paraId="7C5708D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7.不以虚假信息骗取裁判资格，不隐瞒按规定应该回避的事项。</w:t>
      </w:r>
    </w:p>
    <w:p w14:paraId="4EAC3E13">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8.对于涉嫌泄密事宜，愿接受、协助、配合相关部门的监督检查，并履行举证义务。</w:t>
      </w:r>
    </w:p>
    <w:p w14:paraId="4CDB785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b/>
          <w:bCs/>
          <w:spacing w:val="3"/>
          <w:sz w:val="31"/>
          <w:szCs w:val="31"/>
        </w:rPr>
      </w:pPr>
      <w:r>
        <w:rPr>
          <w:b/>
          <w:bCs/>
          <w:spacing w:val="3"/>
          <w:sz w:val="31"/>
          <w:szCs w:val="31"/>
        </w:rPr>
        <w:t>十五、 申诉与仲裁</w:t>
      </w:r>
    </w:p>
    <w:p w14:paraId="236B6B25">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在比赛过程中若出现有失公正或有关人员违规等现象，参赛队领队可在比赛结束后2 小时之内向赛项仲裁组提出书面申诉。书面申诉应对申诉事件的现象、发生时间、涉及人员等进行实事求是的叙述，并提供事实依据（无事实依据或主观臆断不予受理），经领队亲笔签名后提交，非书面申诉不予受理。</w:t>
      </w:r>
    </w:p>
    <w:p w14:paraId="7AB10453">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赛项仲裁组在接到申诉报告后的2 小时内组织复议，并及时将复议结果以书面形式告知申诉方。 申诉方对复议结果仍有异议，可在 3 天内由参赛队所在学校向省大赛组委会办公室提出申诉。省大赛组委会办公室的仲裁结果为最终结果。</w:t>
      </w:r>
    </w:p>
    <w:sectPr>
      <w:footerReference r:id="rId6" w:type="default"/>
      <w:pgSz w:w="11906" w:h="16839"/>
      <w:pgMar w:top="1221" w:right="1415" w:bottom="1156" w:left="1435" w:header="0" w:footer="9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0986">
    <w:pPr>
      <w:spacing w:line="173" w:lineRule="auto"/>
      <w:ind w:left="453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A12852">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AA12852">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3772F">
    <w:pPr>
      <w:spacing w:line="176" w:lineRule="auto"/>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22B96">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C522B96">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FEFD6B"/>
    <w:multiLevelType w:val="singleLevel"/>
    <w:tmpl w:val="74FEFD6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7A2240"/>
    <w:rsid w:val="00D42B17"/>
    <w:rsid w:val="00F76805"/>
    <w:rsid w:val="02223D56"/>
    <w:rsid w:val="02B940EA"/>
    <w:rsid w:val="02C10E79"/>
    <w:rsid w:val="033160EB"/>
    <w:rsid w:val="034C108A"/>
    <w:rsid w:val="035B12CD"/>
    <w:rsid w:val="035C2CE7"/>
    <w:rsid w:val="03C552A0"/>
    <w:rsid w:val="03EE0393"/>
    <w:rsid w:val="04387860"/>
    <w:rsid w:val="04B70785"/>
    <w:rsid w:val="04C410F4"/>
    <w:rsid w:val="051554AC"/>
    <w:rsid w:val="05FD1662"/>
    <w:rsid w:val="05FE4192"/>
    <w:rsid w:val="06935222"/>
    <w:rsid w:val="07C37441"/>
    <w:rsid w:val="080D690E"/>
    <w:rsid w:val="08B013CC"/>
    <w:rsid w:val="093200F2"/>
    <w:rsid w:val="09467028"/>
    <w:rsid w:val="09EF276F"/>
    <w:rsid w:val="0A2148F3"/>
    <w:rsid w:val="0A635278"/>
    <w:rsid w:val="0A68775B"/>
    <w:rsid w:val="0AA2638C"/>
    <w:rsid w:val="0B835865"/>
    <w:rsid w:val="0C202441"/>
    <w:rsid w:val="0C434FF4"/>
    <w:rsid w:val="0C452B1A"/>
    <w:rsid w:val="0CF167FE"/>
    <w:rsid w:val="0D014BA9"/>
    <w:rsid w:val="0D222E5C"/>
    <w:rsid w:val="0D32437D"/>
    <w:rsid w:val="0D336E17"/>
    <w:rsid w:val="0D8E04F1"/>
    <w:rsid w:val="0DD759F4"/>
    <w:rsid w:val="0E0E4C65"/>
    <w:rsid w:val="0F0526A1"/>
    <w:rsid w:val="0F5B2655"/>
    <w:rsid w:val="0F855B4A"/>
    <w:rsid w:val="0FB73D2F"/>
    <w:rsid w:val="0FB81855"/>
    <w:rsid w:val="1045758D"/>
    <w:rsid w:val="107F387C"/>
    <w:rsid w:val="108300B5"/>
    <w:rsid w:val="10861954"/>
    <w:rsid w:val="10B63FE7"/>
    <w:rsid w:val="111B209C"/>
    <w:rsid w:val="120D40DA"/>
    <w:rsid w:val="12435D4E"/>
    <w:rsid w:val="126637EB"/>
    <w:rsid w:val="12C549B5"/>
    <w:rsid w:val="13B3480E"/>
    <w:rsid w:val="13E0137B"/>
    <w:rsid w:val="150D3C6B"/>
    <w:rsid w:val="15284D87"/>
    <w:rsid w:val="153C6A85"/>
    <w:rsid w:val="15712BD2"/>
    <w:rsid w:val="15A17689"/>
    <w:rsid w:val="15EC37A8"/>
    <w:rsid w:val="16730284"/>
    <w:rsid w:val="172E411C"/>
    <w:rsid w:val="17306175"/>
    <w:rsid w:val="1732013F"/>
    <w:rsid w:val="178E592D"/>
    <w:rsid w:val="17B86896"/>
    <w:rsid w:val="17E949E2"/>
    <w:rsid w:val="1809187D"/>
    <w:rsid w:val="180E2ED4"/>
    <w:rsid w:val="18524EF6"/>
    <w:rsid w:val="188E3A9B"/>
    <w:rsid w:val="18952734"/>
    <w:rsid w:val="1A55661F"/>
    <w:rsid w:val="1AB01AA7"/>
    <w:rsid w:val="1B3B4134"/>
    <w:rsid w:val="1B9B2757"/>
    <w:rsid w:val="1BED63A2"/>
    <w:rsid w:val="1C640D9B"/>
    <w:rsid w:val="1C6963B1"/>
    <w:rsid w:val="1CB02232"/>
    <w:rsid w:val="1CDF0421"/>
    <w:rsid w:val="1D3F5364"/>
    <w:rsid w:val="1D3F6A77"/>
    <w:rsid w:val="1D5030CD"/>
    <w:rsid w:val="1D7F1C04"/>
    <w:rsid w:val="1DCD0BC2"/>
    <w:rsid w:val="1E682698"/>
    <w:rsid w:val="1E7554E1"/>
    <w:rsid w:val="1E967206"/>
    <w:rsid w:val="1EC45B21"/>
    <w:rsid w:val="1EE00481"/>
    <w:rsid w:val="1F2A4829"/>
    <w:rsid w:val="1F6B2440"/>
    <w:rsid w:val="20284A23"/>
    <w:rsid w:val="207D067D"/>
    <w:rsid w:val="20CA76F9"/>
    <w:rsid w:val="210963B5"/>
    <w:rsid w:val="211D3C0E"/>
    <w:rsid w:val="21717AB6"/>
    <w:rsid w:val="21845A3B"/>
    <w:rsid w:val="2188552B"/>
    <w:rsid w:val="218B0B78"/>
    <w:rsid w:val="21933ED0"/>
    <w:rsid w:val="21A97250"/>
    <w:rsid w:val="232272BA"/>
    <w:rsid w:val="23BA3996"/>
    <w:rsid w:val="24877D1C"/>
    <w:rsid w:val="249D7540"/>
    <w:rsid w:val="24A106B2"/>
    <w:rsid w:val="24C7636B"/>
    <w:rsid w:val="24D942F0"/>
    <w:rsid w:val="259C77F7"/>
    <w:rsid w:val="25D16D75"/>
    <w:rsid w:val="25E92311"/>
    <w:rsid w:val="2613754D"/>
    <w:rsid w:val="26577CD5"/>
    <w:rsid w:val="267737B6"/>
    <w:rsid w:val="27B72680"/>
    <w:rsid w:val="28184D81"/>
    <w:rsid w:val="28761A58"/>
    <w:rsid w:val="28CA467C"/>
    <w:rsid w:val="292518B2"/>
    <w:rsid w:val="293D6BFB"/>
    <w:rsid w:val="2A092F82"/>
    <w:rsid w:val="2A1060BE"/>
    <w:rsid w:val="2AEF3F25"/>
    <w:rsid w:val="2B186620"/>
    <w:rsid w:val="2B230073"/>
    <w:rsid w:val="2B3A7BF8"/>
    <w:rsid w:val="2BA72A52"/>
    <w:rsid w:val="2C0E487F"/>
    <w:rsid w:val="2C950AFD"/>
    <w:rsid w:val="2CB73169"/>
    <w:rsid w:val="2CCE21AA"/>
    <w:rsid w:val="2CE675AA"/>
    <w:rsid w:val="2D8F7C42"/>
    <w:rsid w:val="2DCF44E2"/>
    <w:rsid w:val="2DE27D71"/>
    <w:rsid w:val="2DFD104F"/>
    <w:rsid w:val="2E0C1BA0"/>
    <w:rsid w:val="2E9D013C"/>
    <w:rsid w:val="2EDF69A7"/>
    <w:rsid w:val="2F432A92"/>
    <w:rsid w:val="2F527179"/>
    <w:rsid w:val="2F807842"/>
    <w:rsid w:val="2FFE2E5D"/>
    <w:rsid w:val="302503E9"/>
    <w:rsid w:val="306C426A"/>
    <w:rsid w:val="30E402A4"/>
    <w:rsid w:val="315E1E05"/>
    <w:rsid w:val="3287538B"/>
    <w:rsid w:val="32E91BA2"/>
    <w:rsid w:val="33A06705"/>
    <w:rsid w:val="350C7DCA"/>
    <w:rsid w:val="351A24E7"/>
    <w:rsid w:val="353C420B"/>
    <w:rsid w:val="358A7AC3"/>
    <w:rsid w:val="358B0EF4"/>
    <w:rsid w:val="35F26FC0"/>
    <w:rsid w:val="35F40F8A"/>
    <w:rsid w:val="3619454C"/>
    <w:rsid w:val="362C24D2"/>
    <w:rsid w:val="367459D4"/>
    <w:rsid w:val="36FE4069"/>
    <w:rsid w:val="37205C9C"/>
    <w:rsid w:val="37403D5B"/>
    <w:rsid w:val="374C0952"/>
    <w:rsid w:val="37B7401D"/>
    <w:rsid w:val="38C509BB"/>
    <w:rsid w:val="39C642A0"/>
    <w:rsid w:val="3A63048C"/>
    <w:rsid w:val="3B0A0908"/>
    <w:rsid w:val="3B8C756F"/>
    <w:rsid w:val="3BEC0970"/>
    <w:rsid w:val="3CCB2319"/>
    <w:rsid w:val="3D09356D"/>
    <w:rsid w:val="3D0C4E0B"/>
    <w:rsid w:val="3E3363C7"/>
    <w:rsid w:val="3E9C3F6D"/>
    <w:rsid w:val="3E9F580B"/>
    <w:rsid w:val="3EAB1A1E"/>
    <w:rsid w:val="3ED74FA5"/>
    <w:rsid w:val="3EE6343A"/>
    <w:rsid w:val="3F035D9A"/>
    <w:rsid w:val="3F1461F9"/>
    <w:rsid w:val="4101455B"/>
    <w:rsid w:val="41055DF9"/>
    <w:rsid w:val="411C1395"/>
    <w:rsid w:val="414508EB"/>
    <w:rsid w:val="41C932CA"/>
    <w:rsid w:val="41D57EC1"/>
    <w:rsid w:val="42A81132"/>
    <w:rsid w:val="437159C8"/>
    <w:rsid w:val="44B00772"/>
    <w:rsid w:val="44B85F15"/>
    <w:rsid w:val="45230F44"/>
    <w:rsid w:val="45404BDA"/>
    <w:rsid w:val="458614D2"/>
    <w:rsid w:val="45877724"/>
    <w:rsid w:val="45F54B8F"/>
    <w:rsid w:val="45F66658"/>
    <w:rsid w:val="466E61EE"/>
    <w:rsid w:val="467F21AA"/>
    <w:rsid w:val="46DA1AD6"/>
    <w:rsid w:val="470703F1"/>
    <w:rsid w:val="47136D96"/>
    <w:rsid w:val="481B23A6"/>
    <w:rsid w:val="481D7ECC"/>
    <w:rsid w:val="488A3088"/>
    <w:rsid w:val="48D52555"/>
    <w:rsid w:val="49695393"/>
    <w:rsid w:val="49697141"/>
    <w:rsid w:val="49B52EFB"/>
    <w:rsid w:val="49ED15A2"/>
    <w:rsid w:val="4A9174E4"/>
    <w:rsid w:val="4AF869CF"/>
    <w:rsid w:val="4B166E55"/>
    <w:rsid w:val="4B4D6D1A"/>
    <w:rsid w:val="4B95246F"/>
    <w:rsid w:val="4C9646F1"/>
    <w:rsid w:val="4CD945DE"/>
    <w:rsid w:val="4CFC1DA8"/>
    <w:rsid w:val="4D7F2B20"/>
    <w:rsid w:val="4D7F6F33"/>
    <w:rsid w:val="4F1D6A04"/>
    <w:rsid w:val="4F5D5052"/>
    <w:rsid w:val="4FA758A6"/>
    <w:rsid w:val="4FB355BA"/>
    <w:rsid w:val="4FC13833"/>
    <w:rsid w:val="4FFA0AF3"/>
    <w:rsid w:val="50AF7448"/>
    <w:rsid w:val="50E13A61"/>
    <w:rsid w:val="50E35C0E"/>
    <w:rsid w:val="50E772C9"/>
    <w:rsid w:val="510065DD"/>
    <w:rsid w:val="513B13C3"/>
    <w:rsid w:val="51B55619"/>
    <w:rsid w:val="51ED6B61"/>
    <w:rsid w:val="51FE0D6E"/>
    <w:rsid w:val="521C2FA3"/>
    <w:rsid w:val="52411557"/>
    <w:rsid w:val="524965D8"/>
    <w:rsid w:val="525A7F6F"/>
    <w:rsid w:val="527C7EE5"/>
    <w:rsid w:val="527F3531"/>
    <w:rsid w:val="53CA4C80"/>
    <w:rsid w:val="547F3CBD"/>
    <w:rsid w:val="557E3F74"/>
    <w:rsid w:val="559B0682"/>
    <w:rsid w:val="559F31E2"/>
    <w:rsid w:val="56552F27"/>
    <w:rsid w:val="56701B0F"/>
    <w:rsid w:val="567315FF"/>
    <w:rsid w:val="569021B1"/>
    <w:rsid w:val="56DC71A4"/>
    <w:rsid w:val="578C4726"/>
    <w:rsid w:val="581D5CC6"/>
    <w:rsid w:val="58713534"/>
    <w:rsid w:val="58A41F44"/>
    <w:rsid w:val="59C363FA"/>
    <w:rsid w:val="5A2B3D71"/>
    <w:rsid w:val="5A407A4A"/>
    <w:rsid w:val="5A760F08"/>
    <w:rsid w:val="5A932869"/>
    <w:rsid w:val="5A981634"/>
    <w:rsid w:val="5ABD553F"/>
    <w:rsid w:val="5ACC12DE"/>
    <w:rsid w:val="5AE96334"/>
    <w:rsid w:val="5BA67841"/>
    <w:rsid w:val="5C675762"/>
    <w:rsid w:val="5C79583C"/>
    <w:rsid w:val="5D290C69"/>
    <w:rsid w:val="5DAB5B22"/>
    <w:rsid w:val="5F1A4D0E"/>
    <w:rsid w:val="5F3A53B0"/>
    <w:rsid w:val="5FEE40D3"/>
    <w:rsid w:val="60082DB8"/>
    <w:rsid w:val="60395667"/>
    <w:rsid w:val="608A7C71"/>
    <w:rsid w:val="62CA6A4B"/>
    <w:rsid w:val="62E96ED1"/>
    <w:rsid w:val="638B61DA"/>
    <w:rsid w:val="63BD3EBA"/>
    <w:rsid w:val="63DC07E4"/>
    <w:rsid w:val="64DD6EB2"/>
    <w:rsid w:val="653D1756"/>
    <w:rsid w:val="65E73470"/>
    <w:rsid w:val="65EB11B2"/>
    <w:rsid w:val="65ED4F2A"/>
    <w:rsid w:val="66052319"/>
    <w:rsid w:val="6635067F"/>
    <w:rsid w:val="671D35ED"/>
    <w:rsid w:val="674C78E8"/>
    <w:rsid w:val="67A91325"/>
    <w:rsid w:val="67AE2497"/>
    <w:rsid w:val="67B70D07"/>
    <w:rsid w:val="6808489E"/>
    <w:rsid w:val="687A0862"/>
    <w:rsid w:val="6881195A"/>
    <w:rsid w:val="6891032A"/>
    <w:rsid w:val="68A4361E"/>
    <w:rsid w:val="68D87ACA"/>
    <w:rsid w:val="68E721D3"/>
    <w:rsid w:val="68F14D31"/>
    <w:rsid w:val="69801C11"/>
    <w:rsid w:val="6990454A"/>
    <w:rsid w:val="69912070"/>
    <w:rsid w:val="69FC398E"/>
    <w:rsid w:val="6A6F5138"/>
    <w:rsid w:val="6ACE7020"/>
    <w:rsid w:val="6ADA4000"/>
    <w:rsid w:val="6B552AF8"/>
    <w:rsid w:val="6B8F69CA"/>
    <w:rsid w:val="6BC404DB"/>
    <w:rsid w:val="6C042FCD"/>
    <w:rsid w:val="6CA65E33"/>
    <w:rsid w:val="6CA94E54"/>
    <w:rsid w:val="6CC52349"/>
    <w:rsid w:val="6CDB1F80"/>
    <w:rsid w:val="6CE93F71"/>
    <w:rsid w:val="6CF21078"/>
    <w:rsid w:val="6DCC7B1B"/>
    <w:rsid w:val="6DDB5FB0"/>
    <w:rsid w:val="6E3F209B"/>
    <w:rsid w:val="6E677844"/>
    <w:rsid w:val="6E963C85"/>
    <w:rsid w:val="6EA939B8"/>
    <w:rsid w:val="6EAE7221"/>
    <w:rsid w:val="6EDE7B06"/>
    <w:rsid w:val="6EFA06B8"/>
    <w:rsid w:val="6F4D07E7"/>
    <w:rsid w:val="6F4F0AB1"/>
    <w:rsid w:val="6F6F69B0"/>
    <w:rsid w:val="6FD42CB7"/>
    <w:rsid w:val="6FD607DD"/>
    <w:rsid w:val="7027713D"/>
    <w:rsid w:val="706470E0"/>
    <w:rsid w:val="70761FC0"/>
    <w:rsid w:val="70F20C94"/>
    <w:rsid w:val="722D4FFB"/>
    <w:rsid w:val="724063E2"/>
    <w:rsid w:val="727662A7"/>
    <w:rsid w:val="72D336FA"/>
    <w:rsid w:val="72E90827"/>
    <w:rsid w:val="74B03CF2"/>
    <w:rsid w:val="74DB71A5"/>
    <w:rsid w:val="7570707C"/>
    <w:rsid w:val="759F78C3"/>
    <w:rsid w:val="75B4336E"/>
    <w:rsid w:val="75D73501"/>
    <w:rsid w:val="75F714AD"/>
    <w:rsid w:val="76285B0A"/>
    <w:rsid w:val="76391AC6"/>
    <w:rsid w:val="767B3E8C"/>
    <w:rsid w:val="770420D4"/>
    <w:rsid w:val="770E6AAE"/>
    <w:rsid w:val="777A2396"/>
    <w:rsid w:val="779276DF"/>
    <w:rsid w:val="77E15873"/>
    <w:rsid w:val="782D15D9"/>
    <w:rsid w:val="784B788E"/>
    <w:rsid w:val="793F73F3"/>
    <w:rsid w:val="79AB6836"/>
    <w:rsid w:val="7A2F7467"/>
    <w:rsid w:val="7A7E219D"/>
    <w:rsid w:val="7AD95625"/>
    <w:rsid w:val="7B2F5245"/>
    <w:rsid w:val="7B75534E"/>
    <w:rsid w:val="7C1F52BA"/>
    <w:rsid w:val="7C2B0102"/>
    <w:rsid w:val="7C482A62"/>
    <w:rsid w:val="7C547659"/>
    <w:rsid w:val="7C5B313D"/>
    <w:rsid w:val="7C923CDE"/>
    <w:rsid w:val="7CE377C5"/>
    <w:rsid w:val="7D0C6095"/>
    <w:rsid w:val="7D4A7F0C"/>
    <w:rsid w:val="7D5947FB"/>
    <w:rsid w:val="7D6F401F"/>
    <w:rsid w:val="7EA45F4A"/>
    <w:rsid w:val="7EAB552B"/>
    <w:rsid w:val="7F2D1F8D"/>
    <w:rsid w:val="7F9A18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6748</Words>
  <Characters>6954</Characters>
  <TotalTime>2</TotalTime>
  <ScaleCrop>false</ScaleCrop>
  <LinksUpToDate>false</LinksUpToDate>
  <CharactersWithSpaces>7003</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2025-02-17T10:56:00Z</dcterms:created>
  <dc:creator>User</dc:creator>
  <cp:lastModifiedBy>Burning Red</cp:lastModifiedBy>
  <dcterms:modified xsi:type="dcterms:W3CDTF">2026-06-16T01:58:43Z</dcterms:modified>
  <dc:title>2014年全国职业院校技能大赛高职组</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2025-11-29T19:18:28Z</vt:filetime>
  </property>
  <property fmtid="{D5CDD505-2E9C-101B-9397-08002B2CF9AE}" pid="4" name="KSOProductBuildVer">
    <vt:lpwstr>2052-12.1.0.22215</vt:lpwstr>
  </property>
  <property fmtid="{D5CDD505-2E9C-101B-9397-08002B2CF9AE}" pid="5" name="ICV">
    <vt:lpwstr>EE7435EFAD0F4E459D93DF3E8650DB09_13</vt:lpwstr>
  </property>
  <property fmtid="{D5CDD505-2E9C-101B-9397-08002B2CF9AE}" pid="6" name="KSOTemplateDocerSaveRecord">
    <vt:lpwstr>eyJoZGlkIjoiYzJmOTE5NzRhYjFkMDRjODNhMjgxNzI0ODY3YzBmODIiLCJ1c2VySWQiOiIyNTYwMzI4ODUifQ==</vt:lpwstr>
  </property>
</Properties>
</file>