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F07D0">
      <w:pPr>
        <w:autoSpaceDE w:val="0"/>
        <w:autoSpaceDN w:val="0"/>
        <w:adjustRightInd w:val="0"/>
        <w:snapToGrid w:val="0"/>
        <w:spacing w:line="360" w:lineRule="auto"/>
        <w:ind w:firstLine="723" w:firstLineChars="200"/>
        <w:jc w:val="center"/>
        <w:rPr>
          <w:rFonts w:ascii="仿宋" w:hAnsi="仿宋" w:eastAsia="仿宋"/>
          <w:b/>
          <w:bCs/>
          <w:sz w:val="36"/>
          <w:szCs w:val="36"/>
        </w:rPr>
      </w:pPr>
      <w:r>
        <w:rPr>
          <w:rFonts w:hint="eastAsia" w:ascii="仿宋" w:hAnsi="仿宋" w:eastAsia="仿宋"/>
          <w:b/>
          <w:bCs/>
          <w:sz w:val="36"/>
          <w:szCs w:val="36"/>
        </w:rPr>
        <w:t>202</w:t>
      </w:r>
      <w:r>
        <w:rPr>
          <w:rFonts w:hint="eastAsia" w:ascii="仿宋" w:hAnsi="仿宋" w:eastAsia="仿宋"/>
          <w:b/>
          <w:bCs/>
          <w:sz w:val="36"/>
          <w:szCs w:val="36"/>
          <w:lang w:val="en-US" w:eastAsia="zh-CN"/>
        </w:rPr>
        <w:t>6</w:t>
      </w:r>
      <w:r>
        <w:rPr>
          <w:rFonts w:hint="eastAsia" w:ascii="仿宋" w:hAnsi="仿宋" w:eastAsia="仿宋"/>
          <w:b/>
          <w:bCs/>
          <w:sz w:val="36"/>
          <w:szCs w:val="36"/>
        </w:rPr>
        <w:t>年唐山市中等职业学校技能大赛</w:t>
      </w:r>
      <w:r>
        <w:rPr>
          <w:rFonts w:hint="eastAsia" w:ascii="仿宋" w:hAnsi="仿宋" w:eastAsia="仿宋"/>
          <w:b/>
          <w:bCs/>
          <w:sz w:val="36"/>
          <w:szCs w:val="36"/>
          <w:lang w:eastAsia="zh-CN"/>
        </w:rPr>
        <w:t>“</w:t>
      </w:r>
      <w:r>
        <w:rPr>
          <w:rFonts w:hint="eastAsia" w:ascii="仿宋" w:hAnsi="仿宋" w:eastAsia="仿宋"/>
          <w:b/>
          <w:bCs/>
          <w:sz w:val="36"/>
          <w:szCs w:val="36"/>
          <w:lang w:val="zh-CN"/>
        </w:rPr>
        <w:t>沙盘模拟企业经营”</w:t>
      </w:r>
      <w:r>
        <w:rPr>
          <w:rFonts w:hint="eastAsia" w:ascii="仿宋" w:hAnsi="仿宋" w:eastAsia="仿宋"/>
          <w:b/>
          <w:bCs/>
          <w:sz w:val="36"/>
          <w:szCs w:val="36"/>
        </w:rPr>
        <w:t>赛项规程</w:t>
      </w:r>
    </w:p>
    <w:p w14:paraId="1960DF6B">
      <w:pPr>
        <w:snapToGrid w:val="0"/>
        <w:spacing w:line="560" w:lineRule="exact"/>
        <w:ind w:firstLine="602" w:firstLineChars="200"/>
        <w:rPr>
          <w:rFonts w:ascii="黑体" w:hAnsi="黑体" w:eastAsia="黑体" w:cs="黑体"/>
          <w:b/>
          <w:bCs/>
          <w:sz w:val="30"/>
          <w:szCs w:val="30"/>
        </w:rPr>
      </w:pPr>
    </w:p>
    <w:p w14:paraId="17EF7007">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一、赛项名称</w:t>
      </w:r>
    </w:p>
    <w:p w14:paraId="2693354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沙盘模拟企业经营</w:t>
      </w:r>
    </w:p>
    <w:p w14:paraId="40244CF9">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赛项组别：中职组</w:t>
      </w:r>
    </w:p>
    <w:p w14:paraId="3E2B3C20">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归属专业大类：财经商贸大类</w:t>
      </w:r>
    </w:p>
    <w:p w14:paraId="48B681E0">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二、竞赛目的</w:t>
      </w:r>
    </w:p>
    <w:p w14:paraId="775CFB3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rPr>
        <w:t>面向中职</w:t>
      </w:r>
      <w:r>
        <w:rPr>
          <w:rFonts w:hint="eastAsia" w:ascii="仿宋" w:hAnsi="仿宋" w:eastAsia="仿宋" w:cs="仿宋"/>
          <w:color w:val="000000"/>
          <w:sz w:val="28"/>
          <w:szCs w:val="28"/>
          <w:lang w:val="en-US" w:eastAsia="zh-CN"/>
        </w:rPr>
        <w:t>财经商贸</w:t>
      </w:r>
      <w:r>
        <w:rPr>
          <w:rFonts w:hint="eastAsia" w:ascii="仿宋" w:hAnsi="仿宋" w:eastAsia="仿宋" w:cs="仿宋"/>
          <w:color w:val="000000"/>
          <w:sz w:val="28"/>
          <w:szCs w:val="28"/>
        </w:rPr>
        <w:t>类学生, 4人组成一个团队，按照设定的场景，自主经营一个企业，让学生体验企业，体验企业管理流程，体验企业在竞争的环境下生存、发展的过程以及为此过程而必须做出的关键决策。</w:t>
      </w:r>
    </w:p>
    <w:p w14:paraId="622408DF">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三、竞赛内容与规则</w:t>
      </w:r>
    </w:p>
    <w:p w14:paraId="79F03AA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（一）竞赛内容</w:t>
      </w:r>
    </w:p>
    <w:p w14:paraId="3070F00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沙盘模拟企业经营赛项将每个参赛队作为一个经营团队，每个团队分设总经理、财务总监、营销总监、生产总监4个岗位，各团队经营一个制造型企业，在仿真的竞争市场环境中，通过分岗位角色扮演，连续从事5个会计年度的模拟企业经营活动。</w:t>
      </w:r>
    </w:p>
    <w:p w14:paraId="7A0C9A70">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竞赛内容：考察参赛选手资金预算分析、妥善控制成本、编制财务报表、市场趋势预测、市场开发决策、营销策略策划、产品研发决策、生产采购流程决策、库存管理、产销结合匹配市场需求等财经商贸类会计、市场营销专业的核心技能。</w:t>
      </w:r>
    </w:p>
    <w:p w14:paraId="7E771766">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竞赛中，参赛选手会运用到企业管理、基础会计、财务会计、统计分析、市场营销、市场调查与分析、EXCEL工具运用等财经商贸类专业核心课程知识。</w:t>
      </w:r>
    </w:p>
    <w:p w14:paraId="0CEDD86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竞赛中，参赛选手通过处理企业经营中常出现的各种典型问题，提升其团队协作能力、财务数据分析能力、计划预算能力、变化应对能力及临场决策能力等职业能力与职业素养。</w:t>
      </w:r>
    </w:p>
    <w:p w14:paraId="49E5630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（二）竞赛规则</w:t>
      </w:r>
    </w:p>
    <w:p w14:paraId="0EBD2B07">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参赛资格。参赛选手须为中等职院校全日制在籍学生。</w:t>
      </w:r>
    </w:p>
    <w:p w14:paraId="26DF1AE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报名要求。每个参赛选手的比赛岗位由学校自行确定,角色一经确定，不得更换。</w:t>
      </w:r>
    </w:p>
    <w:p w14:paraId="62A039B9">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赛前准备。凡参赛选手、裁判员、工作人员等均需按照赛项组委会要求准时到达赛项举办地点，办理相关手续。</w:t>
      </w:r>
    </w:p>
    <w:p w14:paraId="13D09A36">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比赛用计算机只允许安装规定的相关软件。</w:t>
      </w:r>
    </w:p>
    <w:p w14:paraId="3A3C42C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比赛过程中，参赛选手不得随意离开赛场。参赛选手不得大声喧哗、使用通讯设备。</w:t>
      </w:r>
    </w:p>
    <w:p w14:paraId="25CB062E">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4.赛后管理。比赛结束后，不得将比赛涉及的资料带出赛场。</w:t>
      </w:r>
    </w:p>
    <w:p w14:paraId="4BF26706">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5.其他。参赛选手须按时检录。检录时不到者，视为自动放弃本场参赛权。</w:t>
      </w:r>
    </w:p>
    <w:p w14:paraId="1F5C1BE5">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四、竞赛方式</w:t>
      </w:r>
    </w:p>
    <w:p w14:paraId="1542B62A">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本赛项为团体赛。</w:t>
      </w:r>
    </w:p>
    <w:p w14:paraId="1412D55F">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本赛项所有参赛队伍将在同一环境下进行模拟操作。</w:t>
      </w:r>
    </w:p>
    <w:p w14:paraId="3AD8103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以院校为单位组队参赛，不得跨校组队，每个学校报名参赛队不超过2支。每支参赛队由4名参赛选手、不超过两名指导教师，指导老师须为本校专兼职教师。</w:t>
      </w:r>
    </w:p>
    <w:p w14:paraId="3BF8895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4</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比赛平台采用数智企业经营管理沙盘。</w:t>
      </w:r>
    </w:p>
    <w:p w14:paraId="73B04B7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5</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本竞赛无理论测试。</w:t>
      </w:r>
    </w:p>
    <w:p w14:paraId="07964A19">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五、竞赛流程</w:t>
      </w:r>
    </w:p>
    <w:p w14:paraId="53130D6E">
      <w:pPr>
        <w:widowControl/>
        <w:shd w:val="clear" w:color="auto" w:fill="FFFFFF"/>
        <w:adjustRightInd w:val="0"/>
        <w:snapToGrid w:val="0"/>
        <w:jc w:val="center"/>
        <w:outlineLvl w:val="2"/>
        <w:rPr>
          <w:rFonts w:cs="仿宋_GB2312" w:asciiTheme="minorEastAsia" w:hAnsiTheme="minorEastAsia" w:eastAsiaTheme="minorEastAsia"/>
          <w:b/>
          <w:bCs/>
          <w:kern w:val="0"/>
          <w:sz w:val="24"/>
          <w:szCs w:val="24"/>
        </w:rPr>
      </w:pPr>
      <w:r>
        <w:rPr>
          <w:rFonts w:hint="eastAsia" w:cs="仿宋_GB2312" w:asciiTheme="minorEastAsia" w:hAnsiTheme="minorEastAsia" w:eastAsiaTheme="minorEastAsia"/>
          <w:b/>
          <w:bCs/>
          <w:kern w:val="0"/>
          <w:sz w:val="24"/>
          <w:szCs w:val="24"/>
        </w:rPr>
        <w:t>竞赛安排与流程表</w:t>
      </w:r>
    </w:p>
    <w:tbl>
      <w:tblPr>
        <w:tblStyle w:val="10"/>
        <w:tblW w:w="7470" w:type="dxa"/>
        <w:tblInd w:w="96" w:type="dxa"/>
        <w:tblLayout w:type="fixed"/>
        <w:tblCellMar>
          <w:top w:w="0" w:type="dxa"/>
          <w:left w:w="108" w:type="dxa"/>
          <w:bottom w:w="0" w:type="dxa"/>
          <w:right w:w="108" w:type="dxa"/>
        </w:tblCellMar>
      </w:tblPr>
      <w:tblGrid>
        <w:gridCol w:w="1420"/>
        <w:gridCol w:w="1876"/>
        <w:gridCol w:w="4174"/>
      </w:tblGrid>
      <w:tr w14:paraId="7C6C3501">
        <w:tblPrEx>
          <w:tblCellMar>
            <w:top w:w="0" w:type="dxa"/>
            <w:left w:w="108" w:type="dxa"/>
            <w:bottom w:w="0" w:type="dxa"/>
            <w:right w:w="108" w:type="dxa"/>
          </w:tblCellMar>
        </w:tblPrEx>
        <w:trPr>
          <w:trHeight w:val="454" w:hRule="atLeast"/>
        </w:trPr>
        <w:tc>
          <w:tcPr>
            <w:tcW w:w="3296"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C80674F">
            <w:pPr>
              <w:pStyle w:val="15"/>
              <w:jc w:val="center"/>
            </w:pPr>
            <w:r>
              <w:rPr>
                <w:rFonts w:hint="eastAsia"/>
              </w:rPr>
              <w:t>时间</w:t>
            </w:r>
          </w:p>
        </w:tc>
        <w:tc>
          <w:tcPr>
            <w:tcW w:w="4174" w:type="dxa"/>
            <w:tcBorders>
              <w:top w:val="single" w:color="auto" w:sz="8" w:space="0"/>
              <w:left w:val="nil"/>
              <w:bottom w:val="single" w:color="auto" w:sz="8" w:space="0"/>
              <w:right w:val="single" w:color="000000" w:sz="8" w:space="0"/>
            </w:tcBorders>
            <w:shd w:val="clear" w:color="auto" w:fill="auto"/>
            <w:vAlign w:val="center"/>
          </w:tcPr>
          <w:p w14:paraId="733761CD">
            <w:pPr>
              <w:pStyle w:val="15"/>
              <w:jc w:val="center"/>
            </w:pPr>
            <w:r>
              <w:rPr>
                <w:rFonts w:hint="eastAsia"/>
              </w:rPr>
              <w:t>流程</w:t>
            </w:r>
          </w:p>
        </w:tc>
      </w:tr>
      <w:tr w14:paraId="2AF44AC8">
        <w:tblPrEx>
          <w:tblCellMar>
            <w:top w:w="0" w:type="dxa"/>
            <w:left w:w="108" w:type="dxa"/>
            <w:bottom w:w="0" w:type="dxa"/>
            <w:right w:w="108" w:type="dxa"/>
          </w:tblCellMar>
        </w:tblPrEx>
        <w:trPr>
          <w:trHeight w:val="454" w:hRule="atLeast"/>
        </w:trPr>
        <w:tc>
          <w:tcPr>
            <w:tcW w:w="1420" w:type="dxa"/>
            <w:tcBorders>
              <w:left w:val="single" w:color="auto" w:sz="8" w:space="0"/>
              <w:right w:val="single" w:color="auto" w:sz="8" w:space="0"/>
            </w:tcBorders>
            <w:vAlign w:val="center"/>
          </w:tcPr>
          <w:p w14:paraId="2D7E2945">
            <w:pPr>
              <w:pStyle w:val="15"/>
            </w:pPr>
            <w:r>
              <w:rPr>
                <w:rFonts w:hint="eastAsia"/>
              </w:rPr>
              <w:t>赛前</w:t>
            </w:r>
          </w:p>
        </w:tc>
        <w:tc>
          <w:tcPr>
            <w:tcW w:w="1876" w:type="dxa"/>
            <w:tcBorders>
              <w:left w:val="nil"/>
              <w:bottom w:val="single" w:color="auto" w:sz="8" w:space="0"/>
              <w:right w:val="single" w:color="auto" w:sz="8" w:space="0"/>
            </w:tcBorders>
            <w:vAlign w:val="center"/>
          </w:tcPr>
          <w:p w14:paraId="3F0A0DBA">
            <w:pPr>
              <w:pStyle w:val="15"/>
              <w:rPr>
                <w:rFonts w:hint="eastAsia" w:eastAsiaTheme="minorEastAsia"/>
                <w:lang w:val="en-US" w:eastAsia="zh-CN"/>
              </w:rPr>
            </w:pPr>
            <w:r>
              <w:rPr>
                <w:rFonts w:hint="eastAsia"/>
                <w:lang w:val="en-US" w:eastAsia="zh-CN"/>
              </w:rPr>
              <w:t>7:00-7：30</w:t>
            </w:r>
          </w:p>
        </w:tc>
        <w:tc>
          <w:tcPr>
            <w:tcW w:w="4174" w:type="dxa"/>
            <w:tcBorders>
              <w:top w:val="single" w:color="auto" w:sz="8" w:space="0"/>
              <w:left w:val="nil"/>
              <w:bottom w:val="single" w:color="auto" w:sz="8" w:space="0"/>
              <w:right w:val="single" w:color="000000" w:sz="8" w:space="0"/>
            </w:tcBorders>
            <w:shd w:val="clear" w:color="auto" w:fill="auto"/>
            <w:vAlign w:val="center"/>
          </w:tcPr>
          <w:p w14:paraId="1AEBB199">
            <w:pPr>
              <w:pStyle w:val="15"/>
            </w:pPr>
            <w:r>
              <w:rPr>
                <w:rFonts w:hint="eastAsia"/>
              </w:rPr>
              <w:t>参赛队报到</w:t>
            </w:r>
          </w:p>
        </w:tc>
      </w:tr>
      <w:tr w14:paraId="4B533E44">
        <w:tblPrEx>
          <w:tblCellMar>
            <w:top w:w="0" w:type="dxa"/>
            <w:left w:w="108" w:type="dxa"/>
            <w:bottom w:w="0" w:type="dxa"/>
            <w:right w:w="108" w:type="dxa"/>
          </w:tblCellMar>
        </w:tblPrEx>
        <w:trPr>
          <w:trHeight w:val="454" w:hRule="atLeast"/>
        </w:trPr>
        <w:tc>
          <w:tcPr>
            <w:tcW w:w="1420" w:type="dxa"/>
            <w:vMerge w:val="restart"/>
            <w:tcBorders>
              <w:top w:val="single" w:color="auto" w:sz="8" w:space="0"/>
              <w:left w:val="single" w:color="auto" w:sz="8" w:space="0"/>
              <w:right w:val="single" w:color="auto" w:sz="8" w:space="0"/>
            </w:tcBorders>
            <w:shd w:val="clear" w:color="auto" w:fill="auto"/>
            <w:vAlign w:val="center"/>
          </w:tcPr>
          <w:p w14:paraId="398CDF64">
            <w:pPr>
              <w:pStyle w:val="15"/>
            </w:pPr>
            <w:r>
              <w:rPr>
                <w:rFonts w:hint="eastAsia"/>
              </w:rPr>
              <w:t>赛中</w:t>
            </w:r>
          </w:p>
        </w:tc>
        <w:tc>
          <w:tcPr>
            <w:tcW w:w="1876" w:type="dxa"/>
            <w:tcBorders>
              <w:top w:val="single" w:color="auto" w:sz="8" w:space="0"/>
              <w:left w:val="single" w:color="auto" w:sz="8" w:space="0"/>
              <w:bottom w:val="single" w:color="auto" w:sz="8" w:space="0"/>
              <w:right w:val="single" w:color="auto" w:sz="8" w:space="0"/>
            </w:tcBorders>
            <w:shd w:val="clear" w:color="auto" w:fill="auto"/>
            <w:vAlign w:val="center"/>
          </w:tcPr>
          <w:p w14:paraId="2D133D59">
            <w:pPr>
              <w:pStyle w:val="15"/>
              <w:rPr>
                <w:rFonts w:hint="default" w:eastAsiaTheme="minorEastAsia"/>
                <w:lang w:val="en-US" w:eastAsia="zh-CN"/>
              </w:rPr>
            </w:pPr>
            <w:r>
              <w:rPr>
                <w:rFonts w:hint="eastAsia"/>
                <w:lang w:val="en-US" w:eastAsia="zh-CN"/>
              </w:rPr>
              <w:t>7:30-7:45</w:t>
            </w:r>
          </w:p>
        </w:tc>
        <w:tc>
          <w:tcPr>
            <w:tcW w:w="4174" w:type="dxa"/>
            <w:tcBorders>
              <w:top w:val="single" w:color="auto" w:sz="8" w:space="0"/>
              <w:left w:val="single" w:color="auto" w:sz="8" w:space="0"/>
              <w:bottom w:val="single" w:color="auto" w:sz="8" w:space="0"/>
              <w:right w:val="single" w:color="000000" w:sz="8" w:space="0"/>
            </w:tcBorders>
            <w:shd w:val="clear" w:color="auto" w:fill="auto"/>
            <w:vAlign w:val="center"/>
          </w:tcPr>
          <w:p w14:paraId="11D01F87">
            <w:pPr>
              <w:pStyle w:val="15"/>
              <w:rPr>
                <w:rFonts w:hint="default" w:eastAsiaTheme="minorEastAsia"/>
                <w:lang w:val="en-US" w:eastAsia="zh-CN"/>
              </w:rPr>
            </w:pPr>
            <w:r>
              <w:rPr>
                <w:rFonts w:hint="eastAsia"/>
                <w:lang w:val="en-US" w:eastAsia="zh-CN"/>
              </w:rPr>
              <w:t>领队会</w:t>
            </w:r>
          </w:p>
        </w:tc>
      </w:tr>
      <w:tr w14:paraId="30AD9627">
        <w:tblPrEx>
          <w:tblCellMar>
            <w:top w:w="0" w:type="dxa"/>
            <w:left w:w="108" w:type="dxa"/>
            <w:bottom w:w="0" w:type="dxa"/>
            <w:right w:w="108" w:type="dxa"/>
          </w:tblCellMar>
        </w:tblPrEx>
        <w:trPr>
          <w:trHeight w:val="454" w:hRule="atLeast"/>
        </w:trPr>
        <w:tc>
          <w:tcPr>
            <w:tcW w:w="1420" w:type="dxa"/>
            <w:vMerge w:val="continue"/>
            <w:tcBorders>
              <w:left w:val="single" w:color="auto" w:sz="8" w:space="0"/>
              <w:right w:val="single" w:color="auto" w:sz="8" w:space="0"/>
            </w:tcBorders>
            <w:shd w:val="clear" w:color="auto" w:fill="auto"/>
            <w:vAlign w:val="center"/>
          </w:tcPr>
          <w:p w14:paraId="02A66B7C">
            <w:pPr>
              <w:pStyle w:val="15"/>
            </w:pPr>
          </w:p>
        </w:tc>
        <w:tc>
          <w:tcPr>
            <w:tcW w:w="1876" w:type="dxa"/>
            <w:vMerge w:val="restart"/>
            <w:tcBorders>
              <w:top w:val="single" w:color="auto" w:sz="8" w:space="0"/>
              <w:left w:val="single" w:color="auto" w:sz="8" w:space="0"/>
              <w:right w:val="single" w:color="auto" w:sz="8" w:space="0"/>
            </w:tcBorders>
            <w:vAlign w:val="center"/>
          </w:tcPr>
          <w:p w14:paraId="0DD36499">
            <w:pPr>
              <w:pStyle w:val="15"/>
              <w:rPr>
                <w:rFonts w:hint="default" w:eastAsiaTheme="minorEastAsia"/>
                <w:lang w:val="en-US" w:eastAsia="zh-CN"/>
              </w:rPr>
            </w:pPr>
            <w:r>
              <w:rPr>
                <w:rFonts w:hint="eastAsia"/>
                <w:lang w:val="en-US" w:eastAsia="zh-CN"/>
              </w:rPr>
              <w:t>7:50-8:30</w:t>
            </w:r>
          </w:p>
        </w:tc>
        <w:tc>
          <w:tcPr>
            <w:tcW w:w="4174" w:type="dxa"/>
            <w:tcBorders>
              <w:top w:val="single" w:color="auto" w:sz="8" w:space="0"/>
              <w:left w:val="single" w:color="auto" w:sz="8" w:space="0"/>
              <w:bottom w:val="single" w:color="auto" w:sz="8" w:space="0"/>
              <w:right w:val="single" w:color="000000" w:sz="8" w:space="0"/>
            </w:tcBorders>
            <w:shd w:val="clear" w:color="auto" w:fill="auto"/>
            <w:vAlign w:val="center"/>
          </w:tcPr>
          <w:p w14:paraId="39F50152">
            <w:pPr>
              <w:pStyle w:val="15"/>
              <w:rPr>
                <w:rFonts w:hint="eastAsia" w:eastAsiaTheme="minorEastAsia"/>
                <w:lang w:eastAsia="zh-CN"/>
              </w:rPr>
            </w:pPr>
            <w:r>
              <w:rPr>
                <w:rFonts w:hint="eastAsia"/>
              </w:rPr>
              <w:t>入场、</w:t>
            </w:r>
            <w:r>
              <w:rPr>
                <w:rFonts w:hint="eastAsia"/>
                <w:lang w:eastAsia="zh-CN"/>
              </w:rPr>
              <w:t>抽签加密</w:t>
            </w:r>
          </w:p>
        </w:tc>
      </w:tr>
      <w:tr w14:paraId="100116D9">
        <w:tblPrEx>
          <w:tblCellMar>
            <w:top w:w="0" w:type="dxa"/>
            <w:left w:w="108" w:type="dxa"/>
            <w:bottom w:w="0" w:type="dxa"/>
            <w:right w:w="108" w:type="dxa"/>
          </w:tblCellMar>
        </w:tblPrEx>
        <w:trPr>
          <w:trHeight w:val="395" w:hRule="atLeast"/>
        </w:trPr>
        <w:tc>
          <w:tcPr>
            <w:tcW w:w="1420" w:type="dxa"/>
            <w:vMerge w:val="continue"/>
            <w:tcBorders>
              <w:left w:val="single" w:color="auto" w:sz="8" w:space="0"/>
              <w:right w:val="single" w:color="auto" w:sz="8" w:space="0"/>
            </w:tcBorders>
            <w:vAlign w:val="center"/>
          </w:tcPr>
          <w:p w14:paraId="3DFB6D4A">
            <w:pPr>
              <w:pStyle w:val="15"/>
            </w:pPr>
          </w:p>
        </w:tc>
        <w:tc>
          <w:tcPr>
            <w:tcW w:w="1876" w:type="dxa"/>
            <w:vMerge w:val="continue"/>
            <w:tcBorders>
              <w:left w:val="single" w:color="auto" w:sz="8" w:space="0"/>
              <w:bottom w:val="single" w:color="auto" w:sz="8" w:space="0"/>
              <w:right w:val="single" w:color="auto" w:sz="8" w:space="0"/>
            </w:tcBorders>
            <w:vAlign w:val="center"/>
          </w:tcPr>
          <w:p w14:paraId="39C4DD76">
            <w:pPr>
              <w:pStyle w:val="15"/>
              <w:rPr>
                <w:rFonts w:hint="default" w:eastAsiaTheme="minorEastAsia"/>
                <w:lang w:val="en-US" w:eastAsia="zh-CN"/>
              </w:rPr>
            </w:pPr>
          </w:p>
        </w:tc>
        <w:tc>
          <w:tcPr>
            <w:tcW w:w="4174" w:type="dxa"/>
            <w:tcBorders>
              <w:top w:val="single" w:color="auto" w:sz="8" w:space="0"/>
              <w:left w:val="single" w:color="auto" w:sz="8" w:space="0"/>
              <w:bottom w:val="single" w:color="auto" w:sz="8" w:space="0"/>
              <w:right w:val="single" w:color="000000" w:sz="8" w:space="0"/>
            </w:tcBorders>
            <w:shd w:val="clear" w:color="auto" w:fill="auto"/>
            <w:vAlign w:val="center"/>
          </w:tcPr>
          <w:p w14:paraId="5131C551">
            <w:pPr>
              <w:pStyle w:val="15"/>
            </w:pPr>
            <w:r>
              <w:rPr>
                <w:rFonts w:hint="eastAsia"/>
              </w:rPr>
              <w:t>正式竞赛</w:t>
            </w:r>
          </w:p>
        </w:tc>
      </w:tr>
      <w:tr w14:paraId="4806BB22">
        <w:tblPrEx>
          <w:tblCellMar>
            <w:top w:w="0" w:type="dxa"/>
            <w:left w:w="108" w:type="dxa"/>
            <w:bottom w:w="0" w:type="dxa"/>
            <w:right w:w="108" w:type="dxa"/>
          </w:tblCellMar>
        </w:tblPrEx>
        <w:trPr>
          <w:trHeight w:val="454" w:hRule="atLeast"/>
        </w:trPr>
        <w:tc>
          <w:tcPr>
            <w:tcW w:w="1420" w:type="dxa"/>
            <w:vMerge w:val="continue"/>
            <w:tcBorders>
              <w:left w:val="single" w:color="auto" w:sz="8" w:space="0"/>
              <w:right w:val="single" w:color="auto" w:sz="8" w:space="0"/>
            </w:tcBorders>
            <w:shd w:val="clear" w:color="auto" w:fill="auto"/>
            <w:vAlign w:val="center"/>
          </w:tcPr>
          <w:p w14:paraId="1C9F113B">
            <w:pPr>
              <w:pStyle w:val="15"/>
            </w:pPr>
          </w:p>
        </w:tc>
        <w:tc>
          <w:tcPr>
            <w:tcW w:w="1876" w:type="dxa"/>
            <w:tcBorders>
              <w:top w:val="single" w:color="auto" w:sz="8" w:space="0"/>
              <w:left w:val="single" w:color="auto" w:sz="8" w:space="0"/>
              <w:bottom w:val="single" w:color="auto" w:sz="8" w:space="0"/>
              <w:right w:val="single" w:color="auto" w:sz="8" w:space="0"/>
            </w:tcBorders>
            <w:shd w:val="clear" w:color="auto" w:fill="auto"/>
            <w:vAlign w:val="center"/>
          </w:tcPr>
          <w:p w14:paraId="2D8291E2">
            <w:pPr>
              <w:pStyle w:val="15"/>
              <w:rPr>
                <w:rFonts w:hint="default" w:eastAsiaTheme="minorEastAsia"/>
                <w:lang w:val="en-US" w:eastAsia="zh-CN"/>
              </w:rPr>
            </w:pPr>
            <w:r>
              <w:rPr>
                <w:rFonts w:hint="eastAsia"/>
                <w:lang w:val="en-US" w:eastAsia="zh-CN"/>
              </w:rPr>
              <w:t>12:00</w:t>
            </w:r>
          </w:p>
        </w:tc>
        <w:tc>
          <w:tcPr>
            <w:tcW w:w="4174" w:type="dxa"/>
            <w:tcBorders>
              <w:top w:val="single" w:color="auto" w:sz="8" w:space="0"/>
              <w:left w:val="single" w:color="auto" w:sz="8" w:space="0"/>
              <w:bottom w:val="single" w:color="auto" w:sz="8" w:space="0"/>
              <w:right w:val="single" w:color="000000" w:sz="8" w:space="0"/>
            </w:tcBorders>
            <w:shd w:val="clear" w:color="auto" w:fill="auto"/>
            <w:vAlign w:val="center"/>
          </w:tcPr>
          <w:p w14:paraId="16521F88">
            <w:pPr>
              <w:pStyle w:val="15"/>
            </w:pPr>
            <w:r>
              <w:rPr>
                <w:rFonts w:hint="eastAsia"/>
              </w:rPr>
              <w:t>午餐</w:t>
            </w:r>
            <w:bookmarkStart w:id="9" w:name="_GoBack"/>
            <w:bookmarkEnd w:id="9"/>
          </w:p>
        </w:tc>
      </w:tr>
      <w:tr w14:paraId="651971E4">
        <w:tblPrEx>
          <w:tblCellMar>
            <w:top w:w="0" w:type="dxa"/>
            <w:left w:w="108" w:type="dxa"/>
            <w:bottom w:w="0" w:type="dxa"/>
            <w:right w:w="108" w:type="dxa"/>
          </w:tblCellMar>
        </w:tblPrEx>
        <w:trPr>
          <w:trHeight w:val="454" w:hRule="atLeast"/>
        </w:trPr>
        <w:tc>
          <w:tcPr>
            <w:tcW w:w="1420" w:type="dxa"/>
            <w:vMerge w:val="continue"/>
            <w:tcBorders>
              <w:left w:val="single" w:color="auto" w:sz="8" w:space="0"/>
              <w:bottom w:val="single" w:color="auto" w:sz="8" w:space="0"/>
              <w:right w:val="single" w:color="auto" w:sz="8" w:space="0"/>
            </w:tcBorders>
            <w:vAlign w:val="center"/>
          </w:tcPr>
          <w:p w14:paraId="6634AD15">
            <w:pPr>
              <w:pStyle w:val="15"/>
            </w:pPr>
          </w:p>
        </w:tc>
        <w:tc>
          <w:tcPr>
            <w:tcW w:w="1876" w:type="dxa"/>
            <w:tcBorders>
              <w:top w:val="single" w:color="auto" w:sz="8" w:space="0"/>
              <w:left w:val="single" w:color="auto" w:sz="8" w:space="0"/>
              <w:bottom w:val="single" w:color="auto" w:sz="8" w:space="0"/>
              <w:right w:val="single" w:color="auto" w:sz="8" w:space="0"/>
            </w:tcBorders>
            <w:vAlign w:val="center"/>
          </w:tcPr>
          <w:p w14:paraId="5CF6B6A5">
            <w:pPr>
              <w:pStyle w:val="15"/>
              <w:rPr>
                <w:rFonts w:hint="default" w:eastAsiaTheme="minorEastAsia"/>
                <w:lang w:val="en-US" w:eastAsia="zh-CN"/>
              </w:rPr>
            </w:pPr>
            <w:r>
              <w:rPr>
                <w:rFonts w:hint="eastAsia"/>
                <w:lang w:val="en-US" w:eastAsia="zh-CN"/>
              </w:rPr>
              <w:t>13:00-18:30</w:t>
            </w:r>
          </w:p>
        </w:tc>
        <w:tc>
          <w:tcPr>
            <w:tcW w:w="4174" w:type="dxa"/>
            <w:tcBorders>
              <w:top w:val="single" w:color="auto" w:sz="8" w:space="0"/>
              <w:left w:val="single" w:color="auto" w:sz="8" w:space="0"/>
              <w:bottom w:val="single" w:color="auto" w:sz="8" w:space="0"/>
              <w:right w:val="single" w:color="000000" w:sz="8" w:space="0"/>
            </w:tcBorders>
            <w:vAlign w:val="center"/>
          </w:tcPr>
          <w:p w14:paraId="4DEDED9E">
            <w:pPr>
              <w:pStyle w:val="15"/>
            </w:pPr>
            <w:r>
              <w:rPr>
                <w:rFonts w:hint="eastAsia"/>
              </w:rPr>
              <w:t>正式竞赛</w:t>
            </w:r>
          </w:p>
        </w:tc>
      </w:tr>
      <w:tr w14:paraId="67E535DD">
        <w:tblPrEx>
          <w:tblCellMar>
            <w:top w:w="0" w:type="dxa"/>
            <w:left w:w="108" w:type="dxa"/>
            <w:bottom w:w="0" w:type="dxa"/>
            <w:right w:w="108" w:type="dxa"/>
          </w:tblCellMar>
        </w:tblPrEx>
        <w:trPr>
          <w:trHeight w:val="349" w:hRule="atLeast"/>
        </w:trPr>
        <w:tc>
          <w:tcPr>
            <w:tcW w:w="1420" w:type="dxa"/>
            <w:tcBorders>
              <w:top w:val="single" w:color="auto" w:sz="8" w:space="0"/>
              <w:left w:val="single" w:color="auto" w:sz="8" w:space="0"/>
              <w:bottom w:val="single" w:color="auto" w:sz="8" w:space="0"/>
              <w:right w:val="single" w:color="auto" w:sz="8" w:space="0"/>
            </w:tcBorders>
            <w:shd w:val="clear" w:color="auto" w:fill="auto"/>
            <w:vAlign w:val="center"/>
          </w:tcPr>
          <w:p w14:paraId="4F066853">
            <w:pPr>
              <w:pStyle w:val="15"/>
            </w:pPr>
            <w:r>
              <w:rPr>
                <w:rFonts w:hint="eastAsia"/>
              </w:rPr>
              <w:t>赛后</w:t>
            </w:r>
          </w:p>
        </w:tc>
        <w:tc>
          <w:tcPr>
            <w:tcW w:w="605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7DAFB93">
            <w:pPr>
              <w:pStyle w:val="15"/>
              <w:jc w:val="center"/>
              <w:rPr>
                <w:rFonts w:hint="eastAsia" w:eastAsiaTheme="minorEastAsia"/>
                <w:lang w:eastAsia="zh-CN"/>
              </w:rPr>
            </w:pPr>
            <w:r>
              <w:rPr>
                <w:rFonts w:hint="eastAsia"/>
                <w:lang w:eastAsia="zh-CN"/>
              </w:rPr>
              <w:t>成绩公布</w:t>
            </w:r>
          </w:p>
        </w:tc>
      </w:tr>
    </w:tbl>
    <w:p w14:paraId="30841B0E">
      <w:pPr>
        <w:widowControl/>
        <w:shd w:val="clear" w:color="auto" w:fill="FFFFFF"/>
        <w:adjustRightInd w:val="0"/>
        <w:snapToGrid w:val="0"/>
        <w:jc w:val="center"/>
        <w:outlineLvl w:val="2"/>
        <w:rPr>
          <w:rFonts w:cs="仿宋_GB2312" w:asciiTheme="minorEastAsia" w:hAnsiTheme="minorEastAsia" w:eastAsiaTheme="minorEastAsia"/>
          <w:b/>
          <w:bCs/>
          <w:kern w:val="0"/>
          <w:sz w:val="24"/>
          <w:szCs w:val="24"/>
        </w:rPr>
      </w:pPr>
    </w:p>
    <w:p w14:paraId="20AB7336">
      <w:pPr>
        <w:autoSpaceDE w:val="0"/>
        <w:autoSpaceDN w:val="0"/>
        <w:adjustRightInd w:val="0"/>
        <w:snapToGrid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注：具体比赛时间根据比赛实际情况为准。</w:t>
      </w:r>
    </w:p>
    <w:p w14:paraId="1770F178">
      <w:pPr>
        <w:spacing w:line="560" w:lineRule="exact"/>
        <w:ind w:firstLine="602" w:firstLineChars="200"/>
        <w:rPr>
          <w:rFonts w:ascii="仿宋" w:hAnsi="仿宋" w:eastAsia="仿宋" w:cstheme="minorBidi"/>
          <w:b/>
          <w:bCs/>
          <w:sz w:val="30"/>
          <w:szCs w:val="30"/>
        </w:rPr>
      </w:pPr>
      <w:r>
        <w:rPr>
          <w:rFonts w:hint="eastAsia" w:ascii="仿宋" w:hAnsi="仿宋" w:eastAsia="仿宋" w:cstheme="minorBidi"/>
          <w:b/>
          <w:bCs/>
          <w:sz w:val="30"/>
          <w:szCs w:val="30"/>
        </w:rPr>
        <w:t>六、评分标准制定原则、评分方法、评分细则</w:t>
      </w:r>
    </w:p>
    <w:p w14:paraId="662F7500">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（一）评分方法</w:t>
      </w:r>
    </w:p>
    <w:p w14:paraId="14653203">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1.评分标准制定原则</w:t>
      </w:r>
    </w:p>
    <w:p w14:paraId="70AB53C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（1）本赛项评分标准制定遵循“公平、公正、公开”的原则。</w:t>
      </w:r>
    </w:p>
    <w:p w14:paraId="7868A912">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（2）应用信息化系统进行机考评分，无人为因素干扰。</w:t>
      </w:r>
    </w:p>
    <w:p w14:paraId="3C76EE5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2.评分细则</w:t>
      </w:r>
    </w:p>
    <w:p w14:paraId="0613F40B">
      <w:pPr>
        <w:spacing w:line="560" w:lineRule="exact"/>
        <w:ind w:firstLine="560" w:firstLineChars="200"/>
        <w:rPr>
          <w:rFonts w:ascii="仿宋" w:hAnsi="仿宋" w:eastAsia="仿宋" w:cs="仿宋"/>
          <w:color w:val="000000"/>
          <w:sz w:val="28"/>
          <w:szCs w:val="28"/>
          <w:lang w:val="zh-CN"/>
        </w:rPr>
      </w:pPr>
      <w:bookmarkStart w:id="0" w:name="OLE_LINK3"/>
      <w:bookmarkStart w:id="1" w:name="OLE_LINK1"/>
      <w:r>
        <w:rPr>
          <w:rFonts w:hint="eastAsia" w:ascii="仿宋" w:hAnsi="仿宋" w:eastAsia="仿宋" w:cs="仿宋"/>
          <w:color w:val="000000"/>
          <w:sz w:val="28"/>
          <w:szCs w:val="28"/>
          <w:lang w:val="zh-CN"/>
        </w:rPr>
        <w:t>竞赛评分采用系统按规则自动生成和评委打分相结合的方式进行。其中，模拟运营企业的成绩由系统自动生成，具体为小组最后一年末的所有者权益；评委打分是针对选手在操作过程中的违规行为按规则所给的处罚分。各小组实际得分的计算方法为：</w:t>
      </w:r>
    </w:p>
    <w:p w14:paraId="34C0F29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实际得分＝最后一年末的所有者权益-罚分</w:t>
      </w:r>
    </w:p>
    <w:p w14:paraId="54D22A8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若实际得分计算结果相同，则按照各队最后一年系统自动生成的分数高者排名在前；若系统自动计算的成绩仍相等，则参照最后一年经营结束时间（经营结束时间以在系统中提交报表时间为准），先结束最后一年经营的队伍排名在前。</w:t>
      </w:r>
    </w:p>
    <w:p w14:paraId="3D63883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（1）运行超时罚分</w:t>
      </w:r>
    </w:p>
    <w:p w14:paraId="2BF95EF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运行超时有两种情况：一是指不能在规定时间完成广告投放(可提前投广告)；二是指不能在规定时间完成当年经营(以点击系统中“当年结束”按钮并确认为准)。</w:t>
      </w:r>
    </w:p>
    <w:p w14:paraId="1563B8C3">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处罚：按所有者权益/分钟（不满一分钟按一分钟计算）计算罚分，最多不能超过10分钟。如果到10分钟后还不能完成相应的运行，将取消其参赛资格。</w:t>
      </w:r>
    </w:p>
    <w:p w14:paraId="2C3B9C2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注意：投放广告时间、完成经营时间及提交报表时间系统均会记录，作为罚分依据。</w:t>
      </w:r>
    </w:p>
    <w:p w14:paraId="533E7EE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（2）报表错误罚分</w:t>
      </w:r>
    </w:p>
    <w:p w14:paraId="3536C33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必须按规定时间在系统中填制报表（资产负债表、综合费用表、利润表），如果上交的报表与系统自动生成的报表对照有误，在总得分中扣罚4所有者权益/次（每年一次），并以系统提供的报表为准修订。</w:t>
      </w:r>
    </w:p>
    <w:p w14:paraId="1C521EDA">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注意：对上交报表时间会作规定，延误交报表即视为错误一次，即使后来在系统中填制正确也要罚分。由运营超时引发延误交报表视同报表错误并罚分（即如果某队超时3分钟，将被扣除1*3+4=7所有者权益）。</w:t>
      </w:r>
    </w:p>
    <w:p w14:paraId="6DB80DE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（3）其它违规罚分</w:t>
      </w:r>
    </w:p>
    <w:p w14:paraId="3AB042D3">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在运行过程中下列情况属违规：</w:t>
      </w:r>
    </w:p>
    <w:p w14:paraId="274FB07E">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对裁判正确的判罚不服从；</w:t>
      </w:r>
    </w:p>
    <w:p w14:paraId="33620C49">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其他严重影响比赛正常进行的活动。</w:t>
      </w:r>
    </w:p>
    <w:p w14:paraId="7BA8E73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如有以上行为者，在第5年经营结束后扣除该队总得分的20权益。</w:t>
      </w:r>
    </w:p>
    <w:p w14:paraId="5D81A813">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（4）所有罚分在第5年经营结束后计算总成绩时一起扣除。</w:t>
      </w:r>
    </w:p>
    <w:p w14:paraId="0F0BAFA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3.破产处理</w:t>
      </w:r>
    </w:p>
    <w:p w14:paraId="2C7A9D3C">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当参赛队权益为负（指当年结束系统生成资产负债表时所有者权益为负）或现金断流时（权益和现金可以为零）界定为企业破产。参赛队破产后，直接退出比赛。</w:t>
      </w:r>
    </w:p>
    <w:p w14:paraId="7119E6A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4.扰乱市场处理</w:t>
      </w:r>
    </w:p>
    <w:p w14:paraId="6C37495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每年经营结束后，评分裁判查看每组订单违约情况，当年违约产品总数超过5个的参赛队，直接退出比赛，其所在赛区比赛继续进行。</w:t>
      </w:r>
    </w:p>
    <w:bookmarkEnd w:id="0"/>
    <w:bookmarkEnd w:id="1"/>
    <w:p w14:paraId="40739EA3">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5.最终成绩</w:t>
      </w:r>
    </w:p>
    <w:p w14:paraId="2BDF30A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赛项最终成绩按100分制计分。假设A区成绩从高到低为A1\A2\A3……那么赋予成绩为99，98，97……；B区同理；如果：A1实际得分/average（A区非破产组实际得分之和）&gt;B1实际得分/average（B区非破产组实际得分之和），则A1成绩=99+0.5，B1成绩=99+0.25。同理，推算出各组的最终成绩。</w:t>
      </w:r>
    </w:p>
    <w:p w14:paraId="49219BFC">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破产组成绩按照破产经营时间排序，最先破产组成绩排名最后。最终成绩也按100分制计分，依次排在没有破产组之后。如出现两赛区同等名次进行比较，没有破产组排在前面；如两组都是破产组，根据其破产时间排序，后破产组排在前面。</w:t>
      </w:r>
    </w:p>
    <w:p w14:paraId="2C7E53D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6.成绩复核</w:t>
      </w:r>
    </w:p>
    <w:p w14:paraId="44E2070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为保障成绩评判的准确性，监督组将对赛项成绩排名前30%的所有参赛队伍（选手）的成绩进行复核；对其余成绩进行抽检复核，抽检覆盖率不得低于15%。如发现成绩错误以书面方式及时告知裁判长，由裁判长更正成绩并签字确认。复核、抽检错误率超过5%的，裁判组将对所有成绩进行复核。</w:t>
      </w:r>
    </w:p>
    <w:p w14:paraId="3FBFE1D8">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七、奖项设置</w:t>
      </w:r>
    </w:p>
    <w:p w14:paraId="3C27034A">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（一）团体奖。以参赛队总数为基数，分设一、二、三等奖，获奖比例分别为10%、20%、30%（四舍五入的形式保留小数点后两位）；获得团体奖的参赛队队员获相应等级的奖项。</w:t>
      </w:r>
    </w:p>
    <w:p w14:paraId="2140746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（二）获奖参赛队指导教师由组委会颁发优秀指导教师证书。</w:t>
      </w:r>
    </w:p>
    <w:p w14:paraId="3DFD8EE3">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八、竞赛环境</w:t>
      </w:r>
    </w:p>
    <w:p w14:paraId="171AF703">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（一）赛项所需的技术平台</w:t>
      </w:r>
    </w:p>
    <w:p w14:paraId="32D84969">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比赛平台为“数智企业经营管理沙盘”，与202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zh-CN"/>
        </w:rPr>
        <w:t>年</w:t>
      </w:r>
      <w:r>
        <w:rPr>
          <w:rFonts w:hint="eastAsia" w:ascii="仿宋" w:hAnsi="仿宋" w:eastAsia="仿宋" w:cs="仿宋"/>
          <w:color w:val="000000"/>
          <w:sz w:val="28"/>
          <w:szCs w:val="28"/>
        </w:rPr>
        <w:t>河北省省赛</w:t>
      </w:r>
      <w:r>
        <w:rPr>
          <w:rFonts w:hint="eastAsia" w:ascii="仿宋" w:hAnsi="仿宋" w:eastAsia="仿宋" w:cs="仿宋"/>
          <w:color w:val="000000"/>
          <w:sz w:val="28"/>
          <w:szCs w:val="28"/>
          <w:lang w:val="zh-CN"/>
        </w:rPr>
        <w:t>使用的竞赛平台相同。</w:t>
      </w:r>
    </w:p>
    <w:p w14:paraId="75378072">
      <w:pPr>
        <w:snapToGrid w:val="0"/>
        <w:spacing w:line="560" w:lineRule="exact"/>
        <w:ind w:firstLine="482" w:firstLineChars="200"/>
        <w:jc w:val="center"/>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赛项所需的技术平台</w:t>
      </w:r>
    </w:p>
    <w:tbl>
      <w:tblPr>
        <w:tblStyle w:val="1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34"/>
        <w:gridCol w:w="5571"/>
      </w:tblGrid>
      <w:tr w14:paraId="7DB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2934" w:type="dxa"/>
            <w:tcBorders>
              <w:top w:val="single" w:color="auto" w:sz="4" w:space="0"/>
              <w:left w:val="single" w:color="auto" w:sz="4" w:space="0"/>
              <w:bottom w:val="single" w:color="auto" w:sz="4" w:space="0"/>
              <w:right w:val="single" w:color="auto" w:sz="4" w:space="0"/>
            </w:tcBorders>
            <w:vAlign w:val="center"/>
          </w:tcPr>
          <w:p w14:paraId="7DF0F1F0">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设备及软件名称</w:t>
            </w:r>
          </w:p>
        </w:tc>
        <w:tc>
          <w:tcPr>
            <w:tcW w:w="5571" w:type="dxa"/>
            <w:tcBorders>
              <w:top w:val="single" w:color="auto" w:sz="4" w:space="0"/>
              <w:left w:val="single" w:color="auto" w:sz="4" w:space="0"/>
              <w:bottom w:val="single" w:color="auto" w:sz="4" w:space="0"/>
              <w:right w:val="single" w:color="auto" w:sz="4" w:space="0"/>
            </w:tcBorders>
            <w:vAlign w:val="center"/>
          </w:tcPr>
          <w:p w14:paraId="272C4EE8">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14:paraId="37C6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trPr>
        <w:tc>
          <w:tcPr>
            <w:tcW w:w="2934" w:type="dxa"/>
            <w:tcBorders>
              <w:top w:val="single" w:color="auto" w:sz="4" w:space="0"/>
              <w:left w:val="single" w:color="auto" w:sz="4" w:space="0"/>
              <w:bottom w:val="single" w:color="auto" w:sz="4" w:space="0"/>
              <w:right w:val="single" w:color="auto" w:sz="4" w:space="0"/>
            </w:tcBorders>
            <w:vAlign w:val="center"/>
          </w:tcPr>
          <w:p w14:paraId="6100DAD5">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电子沙盘</w:t>
            </w:r>
          </w:p>
        </w:tc>
        <w:tc>
          <w:tcPr>
            <w:tcW w:w="5571" w:type="dxa"/>
            <w:tcBorders>
              <w:top w:val="single" w:color="auto" w:sz="4" w:space="0"/>
              <w:left w:val="single" w:color="auto" w:sz="4" w:space="0"/>
              <w:bottom w:val="single" w:color="auto" w:sz="4" w:space="0"/>
              <w:right w:val="single" w:color="auto" w:sz="4" w:space="0"/>
            </w:tcBorders>
            <w:vAlign w:val="center"/>
          </w:tcPr>
          <w:p w14:paraId="3D298AC3">
            <w:pPr>
              <w:snapToGrid w:val="0"/>
              <w:jc w:val="center"/>
              <w:rPr>
                <w:rFonts w:cs="宋体" w:asciiTheme="minorEastAsia" w:hAnsiTheme="minorEastAsia" w:eastAsiaTheme="minorEastAsia"/>
                <w:sz w:val="24"/>
                <w:szCs w:val="24"/>
              </w:rPr>
            </w:pPr>
            <w:r>
              <w:rPr>
                <w:rFonts w:hint="eastAsia" w:ascii="仿宋" w:hAnsi="仿宋" w:eastAsia="仿宋" w:cs="仿宋"/>
                <w:color w:val="000000"/>
                <w:sz w:val="28"/>
                <w:szCs w:val="28"/>
                <w:lang w:val="zh-CN"/>
              </w:rPr>
              <w:t>数智企业经营管理沙盘</w:t>
            </w:r>
          </w:p>
        </w:tc>
      </w:tr>
      <w:tr w14:paraId="1472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trPr>
        <w:tc>
          <w:tcPr>
            <w:tcW w:w="2934" w:type="dxa"/>
            <w:tcBorders>
              <w:top w:val="single" w:color="auto" w:sz="4" w:space="0"/>
              <w:left w:val="single" w:color="auto" w:sz="4" w:space="0"/>
              <w:bottom w:val="single" w:color="auto" w:sz="4" w:space="0"/>
              <w:right w:val="single" w:color="auto" w:sz="4" w:space="0"/>
            </w:tcBorders>
            <w:vAlign w:val="center"/>
          </w:tcPr>
          <w:p w14:paraId="5B6776C2">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服务器</w:t>
            </w:r>
          </w:p>
        </w:tc>
        <w:tc>
          <w:tcPr>
            <w:tcW w:w="5571" w:type="dxa"/>
            <w:tcBorders>
              <w:top w:val="single" w:color="auto" w:sz="4" w:space="0"/>
              <w:left w:val="single" w:color="auto" w:sz="4" w:space="0"/>
              <w:bottom w:val="single" w:color="auto" w:sz="4" w:space="0"/>
              <w:right w:val="single" w:color="auto" w:sz="4" w:space="0"/>
            </w:tcBorders>
            <w:vAlign w:val="center"/>
          </w:tcPr>
          <w:p w14:paraId="2E6FAE67">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每个赛区两台</w:t>
            </w:r>
          </w:p>
          <w:p w14:paraId="77C69768">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配置要求如下：</w:t>
            </w:r>
          </w:p>
          <w:p w14:paraId="17B5DEB6">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内存：8G DDR3 </w:t>
            </w:r>
          </w:p>
          <w:p w14:paraId="55A3DE69">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硬盘：180G</w:t>
            </w:r>
          </w:p>
          <w:p w14:paraId="1EB378E3">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CPU：四核</w:t>
            </w:r>
          </w:p>
          <w:p w14:paraId="3D2CC571">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操作系统：win7 64位/Windows server 2008r2 64位</w:t>
            </w:r>
          </w:p>
        </w:tc>
      </w:tr>
      <w:tr w14:paraId="7FA3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trPr>
        <w:tc>
          <w:tcPr>
            <w:tcW w:w="2934" w:type="dxa"/>
            <w:tcBorders>
              <w:top w:val="single" w:color="auto" w:sz="4" w:space="0"/>
              <w:left w:val="single" w:color="auto" w:sz="4" w:space="0"/>
              <w:bottom w:val="single" w:color="auto" w:sz="4" w:space="0"/>
              <w:right w:val="single" w:color="auto" w:sz="4" w:space="0"/>
            </w:tcBorders>
            <w:vAlign w:val="center"/>
          </w:tcPr>
          <w:p w14:paraId="621542DB">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计算机</w:t>
            </w:r>
          </w:p>
        </w:tc>
        <w:tc>
          <w:tcPr>
            <w:tcW w:w="5571" w:type="dxa"/>
            <w:tcBorders>
              <w:top w:val="single" w:color="auto" w:sz="4" w:space="0"/>
              <w:left w:val="single" w:color="auto" w:sz="4" w:space="0"/>
              <w:bottom w:val="single" w:color="auto" w:sz="4" w:space="0"/>
              <w:right w:val="single" w:color="auto" w:sz="4" w:space="0"/>
            </w:tcBorders>
            <w:vAlign w:val="center"/>
          </w:tcPr>
          <w:p w14:paraId="0BCD4848">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每支参赛队两台（每个赛区备用10%计算机）</w:t>
            </w:r>
          </w:p>
        </w:tc>
      </w:tr>
      <w:tr w14:paraId="3A38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trPr>
        <w:tc>
          <w:tcPr>
            <w:tcW w:w="2934" w:type="dxa"/>
            <w:tcBorders>
              <w:top w:val="single" w:color="auto" w:sz="4" w:space="0"/>
              <w:left w:val="single" w:color="auto" w:sz="4" w:space="0"/>
              <w:bottom w:val="single" w:color="auto" w:sz="4" w:space="0"/>
              <w:right w:val="single" w:color="auto" w:sz="4" w:space="0"/>
            </w:tcBorders>
            <w:vAlign w:val="center"/>
          </w:tcPr>
          <w:p w14:paraId="0E17F284">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支持的操作系统及版本</w:t>
            </w:r>
          </w:p>
        </w:tc>
        <w:tc>
          <w:tcPr>
            <w:tcW w:w="5571" w:type="dxa"/>
            <w:tcBorders>
              <w:top w:val="single" w:color="auto" w:sz="4" w:space="0"/>
              <w:left w:val="single" w:color="auto" w:sz="4" w:space="0"/>
              <w:bottom w:val="single" w:color="auto" w:sz="4" w:space="0"/>
              <w:right w:val="single" w:color="auto" w:sz="4" w:space="0"/>
            </w:tcBorders>
            <w:vAlign w:val="center"/>
          </w:tcPr>
          <w:p w14:paraId="7951E7C1">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Windowsxp SP3 32位</w:t>
            </w:r>
          </w:p>
          <w:p w14:paraId="10BED568">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Windows server 2003 32位/64位</w:t>
            </w:r>
          </w:p>
          <w:p w14:paraId="10A11DF6">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Windows server 2003 R2 32位/64位</w:t>
            </w:r>
          </w:p>
          <w:p w14:paraId="341D1289">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Windows server 2008 32位/64位</w:t>
            </w:r>
          </w:p>
          <w:p w14:paraId="64D3D0D7">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Windows server 2008 R2 32位/64位</w:t>
            </w:r>
          </w:p>
          <w:p w14:paraId="087C8449">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Windows server 2012 64位</w:t>
            </w:r>
          </w:p>
          <w:p w14:paraId="129C39A8">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Win7/XP/Win2003</w:t>
            </w:r>
          </w:p>
        </w:tc>
      </w:tr>
      <w:tr w14:paraId="0F42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 w:hRule="atLeast"/>
        </w:trPr>
        <w:tc>
          <w:tcPr>
            <w:tcW w:w="2934" w:type="dxa"/>
            <w:tcBorders>
              <w:top w:val="single" w:color="auto" w:sz="4" w:space="0"/>
              <w:left w:val="single" w:color="auto" w:sz="4" w:space="0"/>
              <w:bottom w:val="single" w:color="auto" w:sz="4" w:space="0"/>
              <w:right w:val="single" w:color="auto" w:sz="4" w:space="0"/>
            </w:tcBorders>
            <w:vAlign w:val="center"/>
          </w:tcPr>
          <w:p w14:paraId="7D8D8ABE">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电源插排</w:t>
            </w:r>
          </w:p>
        </w:tc>
        <w:tc>
          <w:tcPr>
            <w:tcW w:w="5571" w:type="dxa"/>
            <w:tcBorders>
              <w:top w:val="single" w:color="auto" w:sz="4" w:space="0"/>
              <w:left w:val="single" w:color="auto" w:sz="4" w:space="0"/>
              <w:bottom w:val="single" w:color="auto" w:sz="4" w:space="0"/>
              <w:right w:val="single" w:color="auto" w:sz="4" w:space="0"/>
            </w:tcBorders>
            <w:vAlign w:val="center"/>
          </w:tcPr>
          <w:p w14:paraId="22586DFE">
            <w:pPr>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每支参赛队一个</w:t>
            </w:r>
          </w:p>
        </w:tc>
      </w:tr>
    </w:tbl>
    <w:p w14:paraId="7B03AF5A">
      <w:pPr>
        <w:spacing w:line="560" w:lineRule="exact"/>
        <w:ind w:firstLine="480" w:firstLineChars="200"/>
        <w:rPr>
          <w:rFonts w:ascii="仿宋" w:hAnsi="仿宋" w:eastAsia="仿宋" w:cs="仿宋"/>
          <w:color w:val="000000"/>
          <w:sz w:val="28"/>
          <w:szCs w:val="28"/>
          <w:lang w:val="zh-CN"/>
        </w:rPr>
      </w:pPr>
      <w:r>
        <w:rPr>
          <w:rFonts w:hint="eastAsia" w:ascii="宋体" w:hAnsi="宋体" w:cs="宋体"/>
          <w:kern w:val="0"/>
          <w:sz w:val="24"/>
          <w:lang w:val="zh-CN" w:bidi="zh-CN"/>
        </w:rPr>
        <w:t xml:space="preserve"> </w:t>
      </w:r>
      <w:r>
        <w:rPr>
          <w:rFonts w:hint="eastAsia" w:ascii="仿宋" w:hAnsi="仿宋" w:eastAsia="仿宋" w:cs="仿宋"/>
          <w:color w:val="000000"/>
          <w:sz w:val="28"/>
          <w:szCs w:val="28"/>
          <w:lang w:val="zh-CN"/>
        </w:rPr>
        <w:t>（二）竞赛场地</w:t>
      </w:r>
    </w:p>
    <w:p w14:paraId="5A39F72A">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zh-CN"/>
        </w:rPr>
        <w:t>赛场环境</w:t>
      </w:r>
    </w:p>
    <w:p w14:paraId="729B45A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光线、通风良好，温湿度适宜。场地设置满足整个竞赛环境。</w:t>
      </w:r>
    </w:p>
    <w:p w14:paraId="6A3FF75F">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竞赛场地设在体育馆内或电脑机房，场地内设置满足不少于20个团队的竞赛环境；</w:t>
      </w:r>
    </w:p>
    <w:p w14:paraId="7E0C7B9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zh-CN"/>
        </w:rPr>
        <w:t>赛位设置</w:t>
      </w:r>
    </w:p>
    <w:p w14:paraId="22B8F0A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采取必要的物理性隔离，确保互不干扰，并配备有稳定的水、电、气源和应急供电设备，设置消防逃生通道。</w:t>
      </w:r>
    </w:p>
    <w:p w14:paraId="6B4C78C1">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每个参赛队连接服务器的电脑需要唯一性。参赛队可以用电脑 2 进行查看电子订单(详单)、制作工 具等操作。每一只参赛队只允许一台电脑连接到服务器。</w:t>
      </w:r>
    </w:p>
    <w:p w14:paraId="6FB7A18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现场提供有纸质的运行记录表、综合费用表、利润表、资产负债表、笔（水笔、铅笔）、稿纸和计算器（2 台）等与竞赛相关的物品。</w:t>
      </w:r>
    </w:p>
    <w:p w14:paraId="460E916E">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竞赛场地内设置背景板、宣传横幅及壁挂图，营造竞赛氛围；</w:t>
      </w:r>
    </w:p>
    <w:p w14:paraId="2C29356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zh-CN"/>
        </w:rPr>
        <w:t>赛位大小</w:t>
      </w:r>
    </w:p>
    <w:p w14:paraId="7918AF8C">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每个赛位大小为15㎡。</w:t>
      </w:r>
    </w:p>
    <w:p w14:paraId="6DCD30B2">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赛场示意图如下：</w:t>
      </w:r>
    </w:p>
    <w:p w14:paraId="6ED20064">
      <w:pPr>
        <w:snapToGrid w:val="0"/>
        <w:spacing w:line="56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drawing>
          <wp:anchor distT="0" distB="0" distL="114300" distR="114300" simplePos="0" relativeHeight="251660288" behindDoc="0" locked="0" layoutInCell="1" allowOverlap="1">
            <wp:simplePos x="0" y="0"/>
            <wp:positionH relativeFrom="column">
              <wp:posOffset>422275</wp:posOffset>
            </wp:positionH>
            <wp:positionV relativeFrom="paragraph">
              <wp:posOffset>62230</wp:posOffset>
            </wp:positionV>
            <wp:extent cx="3796030" cy="2064385"/>
            <wp:effectExtent l="0" t="0" r="13970" b="1206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cstate="print"/>
                    <a:stretch>
                      <a:fillRect/>
                    </a:stretch>
                  </pic:blipFill>
                  <pic:spPr>
                    <a:xfrm>
                      <a:off x="0" y="0"/>
                      <a:ext cx="3796030" cy="2064327"/>
                    </a:xfrm>
                    <a:prstGeom prst="rect">
                      <a:avLst/>
                    </a:prstGeom>
                    <a:noFill/>
                    <a:ln>
                      <a:noFill/>
                    </a:ln>
                  </pic:spPr>
                </pic:pic>
              </a:graphicData>
            </a:graphic>
          </wp:anchor>
        </w:drawing>
      </w:r>
    </w:p>
    <w:p w14:paraId="7C3F47E7">
      <w:pPr>
        <w:snapToGrid w:val="0"/>
        <w:spacing w:line="560" w:lineRule="exact"/>
        <w:ind w:firstLine="480" w:firstLineChars="200"/>
        <w:rPr>
          <w:rFonts w:cs="仿宋_GB2312" w:asciiTheme="minorEastAsia" w:hAnsiTheme="minorEastAsia" w:eastAsiaTheme="minorEastAsia"/>
          <w:sz w:val="24"/>
          <w:szCs w:val="24"/>
        </w:rPr>
      </w:pPr>
    </w:p>
    <w:p w14:paraId="52488D01">
      <w:pPr>
        <w:snapToGrid w:val="0"/>
        <w:spacing w:line="560" w:lineRule="exact"/>
        <w:ind w:firstLine="480" w:firstLineChars="200"/>
        <w:rPr>
          <w:rFonts w:cs="仿宋_GB2312" w:asciiTheme="minorEastAsia" w:hAnsiTheme="minorEastAsia" w:eastAsiaTheme="minorEastAsia"/>
          <w:sz w:val="24"/>
          <w:szCs w:val="24"/>
        </w:rPr>
      </w:pPr>
    </w:p>
    <w:p w14:paraId="5FD9F2B0">
      <w:pPr>
        <w:snapToGrid w:val="0"/>
        <w:spacing w:line="560" w:lineRule="exact"/>
        <w:ind w:firstLine="480" w:firstLineChars="200"/>
        <w:rPr>
          <w:rFonts w:cs="仿宋_GB2312" w:asciiTheme="minorEastAsia" w:hAnsiTheme="minorEastAsia" w:eastAsiaTheme="minorEastAsia"/>
          <w:sz w:val="24"/>
          <w:szCs w:val="24"/>
        </w:rPr>
      </w:pPr>
    </w:p>
    <w:p w14:paraId="728E9251">
      <w:pPr>
        <w:snapToGrid w:val="0"/>
        <w:spacing w:line="560" w:lineRule="exact"/>
        <w:rPr>
          <w:rFonts w:cs="仿宋_GB2312" w:asciiTheme="minorEastAsia" w:hAnsiTheme="minorEastAsia" w:eastAsiaTheme="minorEastAsia"/>
          <w:sz w:val="24"/>
          <w:szCs w:val="24"/>
        </w:rPr>
      </w:pPr>
    </w:p>
    <w:p w14:paraId="2E2B1E56">
      <w:pPr>
        <w:snapToGrid w:val="0"/>
        <w:spacing w:line="560" w:lineRule="exact"/>
        <w:rPr>
          <w:rFonts w:cs="仿宋_GB2312" w:asciiTheme="minorEastAsia" w:hAnsiTheme="minorEastAsia" w:eastAsiaTheme="minorEastAsia"/>
          <w:sz w:val="24"/>
          <w:szCs w:val="24"/>
        </w:rPr>
      </w:pPr>
    </w:p>
    <w:p w14:paraId="33D25747">
      <w:pPr>
        <w:snapToGrid w:val="0"/>
        <w:spacing w:line="560" w:lineRule="exact"/>
        <w:rPr>
          <w:rFonts w:cs="仿宋_GB2312" w:asciiTheme="minorEastAsia" w:hAnsiTheme="minorEastAsia" w:eastAsiaTheme="minorEastAsia"/>
          <w:sz w:val="24"/>
          <w:szCs w:val="24"/>
        </w:rPr>
      </w:pPr>
    </w:p>
    <w:p w14:paraId="56C5F84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局域网络。采用星形网络拓扑结构，安装千兆交换机。网线与电源线隐蔽铺设。采用独立网络环境，不连接INTERNET，禁止外部电脑接入。</w:t>
      </w:r>
    </w:p>
    <w:p w14:paraId="257D412C">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安全保障。采用统一的杀毒软件对服务器进行防毒保护。屏蔽竞赛现场使用的电脑USB接口。部署具有网络管理、账号管理和日志管理功能的综合监控系统。</w:t>
      </w:r>
    </w:p>
    <w:p w14:paraId="72E7418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采用双路供电；利用UPS防止现场因突然断电导致的系统数据丢失，额定功率：3KVA，后备时间：2小时，电池类型：输出电压：230V±5%V。</w:t>
      </w:r>
    </w:p>
    <w:p w14:paraId="7069FB7D">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安全防范措施：设置安全通道和警戒线，大赛参观、采访、视察的人员限定在安全区域内活动，以保证大赛安全有序进行。</w:t>
      </w:r>
    </w:p>
    <w:p w14:paraId="296C4C8A">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九、技术规范</w:t>
      </w:r>
    </w:p>
    <w:p w14:paraId="1E6EB67E">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（一）参照“2014年教育部公布首批《中等职业学校专业教学标准（试行）》的通知”（教职成厅函[2014] 11号）中财经商贸类专业的“专业标准”、“课程标准”为基本范围和基本要求。</w:t>
      </w:r>
    </w:p>
    <w:p w14:paraId="5F6B6BF2">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二）竞赛以现行的财经法律、法规和财政部、国家税务总局、人民银行、国家质监局等出台的会计、税务、金融法规、制度和规范性文件为依据。（详见下表所列，未列尽规范标准，以国家发布的相关标准为准）</w:t>
      </w:r>
    </w:p>
    <w:p w14:paraId="1896BBD7">
      <w:pPr>
        <w:widowControl/>
        <w:shd w:val="clear" w:color="auto" w:fill="FFFFFF"/>
        <w:adjustRightInd w:val="0"/>
        <w:snapToGrid w:val="0"/>
        <w:jc w:val="center"/>
        <w:outlineLvl w:val="2"/>
        <w:rPr>
          <w:rFonts w:cs="仿宋_GB2312" w:asciiTheme="minorEastAsia" w:hAnsiTheme="minorEastAsia" w:eastAsiaTheme="minorEastAsia"/>
          <w:b/>
          <w:bCs/>
          <w:kern w:val="0"/>
          <w:sz w:val="24"/>
          <w:szCs w:val="24"/>
        </w:rPr>
      </w:pPr>
      <w:r>
        <w:rPr>
          <w:rFonts w:hint="eastAsia" w:cs="仿宋_GB2312" w:asciiTheme="minorEastAsia" w:hAnsiTheme="minorEastAsia" w:eastAsiaTheme="minorEastAsia"/>
          <w:b/>
          <w:bCs/>
          <w:kern w:val="0"/>
          <w:sz w:val="24"/>
          <w:szCs w:val="24"/>
        </w:rPr>
        <w:t>参赛团队应遵循的规范标准汇总表</w:t>
      </w:r>
    </w:p>
    <w:tbl>
      <w:tblPr>
        <w:tblStyle w:val="1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4995"/>
        <w:gridCol w:w="2660"/>
      </w:tblGrid>
      <w:tr w14:paraId="1FEA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7FF2366">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序号</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07690751">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名称</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2A7C5CD2">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发布或开始执行时间</w:t>
            </w:r>
          </w:p>
        </w:tc>
      </w:tr>
      <w:tr w14:paraId="5DF5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84BB487">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1</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676F2143">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ISO9001质量管理体系</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5D0D3F68">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2015</w:t>
            </w:r>
          </w:p>
        </w:tc>
      </w:tr>
      <w:tr w14:paraId="43EE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5176BD1">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6A9E12B9">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中华人民共和国公司法(2013修订)</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4CB04FD8">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2014</w:t>
            </w:r>
          </w:p>
        </w:tc>
      </w:tr>
      <w:tr w14:paraId="0D9A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4E3C38F">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3</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6A9F50B0">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中华人民共和国产品质量法（2015年修正）</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0ED006C3">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2015</w:t>
            </w:r>
          </w:p>
        </w:tc>
      </w:tr>
      <w:tr w14:paraId="3300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241FF21">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4</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097F6816">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中华人民共和国会计法（2017年修正）</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640F86DF">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2017</w:t>
            </w:r>
          </w:p>
        </w:tc>
      </w:tr>
      <w:tr w14:paraId="4B3A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CA523FC">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5</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2917DE8E">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企业内部控制基本规范</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583A7156">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2008</w:t>
            </w:r>
          </w:p>
        </w:tc>
      </w:tr>
      <w:tr w14:paraId="4DA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22304BD">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6</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414A9196">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企业内部控制应用指引</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6BB0D515">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2008</w:t>
            </w:r>
          </w:p>
        </w:tc>
      </w:tr>
      <w:tr w14:paraId="12A1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2F4B950">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7</w:t>
            </w:r>
          </w:p>
        </w:tc>
        <w:tc>
          <w:tcPr>
            <w:tcW w:w="4995"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1B971003">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中华人民共和国企业所得税法（2017年修正）</w:t>
            </w:r>
          </w:p>
        </w:tc>
        <w:tc>
          <w:tcPr>
            <w:tcW w:w="266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14:paraId="5E96A913">
            <w:pPr>
              <w:pStyle w:val="18"/>
              <w:jc w:val="center"/>
              <w:rPr>
                <w:rFonts w:cs="宋体" w:asciiTheme="minorEastAsia" w:hAnsiTheme="minorEastAsia" w:eastAsiaTheme="minorEastAsia"/>
                <w:bCs/>
                <w:color w:val="auto"/>
                <w:kern w:val="2"/>
              </w:rPr>
            </w:pPr>
            <w:r>
              <w:rPr>
                <w:rFonts w:hint="eastAsia" w:cs="宋体" w:asciiTheme="minorEastAsia" w:hAnsiTheme="minorEastAsia" w:eastAsiaTheme="minorEastAsia"/>
                <w:bCs/>
                <w:color w:val="auto"/>
                <w:kern w:val="2"/>
              </w:rPr>
              <w:t>2017</w:t>
            </w:r>
          </w:p>
        </w:tc>
      </w:tr>
    </w:tbl>
    <w:p w14:paraId="0904F162">
      <w:pPr>
        <w:spacing w:line="560" w:lineRule="exact"/>
        <w:ind w:firstLine="602" w:firstLineChars="200"/>
        <w:rPr>
          <w:rFonts w:ascii="仿宋" w:hAnsi="仿宋" w:eastAsia="仿宋" w:cstheme="minorBidi"/>
          <w:b/>
          <w:bCs/>
          <w:sz w:val="30"/>
          <w:szCs w:val="30"/>
          <w:lang w:val="zh-CN"/>
        </w:rPr>
      </w:pPr>
      <w:r>
        <w:rPr>
          <w:rFonts w:hint="eastAsia" w:ascii="仿宋" w:hAnsi="仿宋" w:eastAsia="仿宋" w:cstheme="minorBidi"/>
          <w:b/>
          <w:bCs/>
          <w:sz w:val="30"/>
          <w:szCs w:val="30"/>
          <w:lang w:val="zh-CN"/>
        </w:rPr>
        <w:t>十、安全保障</w:t>
      </w:r>
    </w:p>
    <w:p w14:paraId="69DCC59A">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赛事安全是技能竞赛一切工作顺利开展的先决条件，是赛事筹备和运行工作必须考虑的核心问题。赛项执委会采取切实有效措施保证大赛期间参赛选手、指导教师、裁判员、工作人员及观众的人身安全。</w:t>
      </w:r>
    </w:p>
    <w:p w14:paraId="318A9241">
      <w:pPr>
        <w:spacing w:line="560" w:lineRule="exact"/>
        <w:ind w:firstLine="560" w:firstLineChars="200"/>
        <w:rPr>
          <w:rFonts w:ascii="仿宋" w:hAnsi="仿宋" w:eastAsia="仿宋" w:cs="仿宋"/>
          <w:color w:val="000000"/>
          <w:sz w:val="28"/>
          <w:szCs w:val="28"/>
          <w:lang w:val="zh-CN"/>
        </w:rPr>
      </w:pPr>
      <w:bookmarkStart w:id="2" w:name="_Toc361563584"/>
      <w:r>
        <w:rPr>
          <w:rFonts w:hint="eastAsia" w:ascii="仿宋" w:hAnsi="仿宋" w:eastAsia="仿宋" w:cs="仿宋"/>
          <w:color w:val="000000"/>
          <w:sz w:val="28"/>
          <w:szCs w:val="28"/>
          <w:lang w:val="zh-CN"/>
        </w:rPr>
        <w:t>（一）比赛环境</w:t>
      </w:r>
      <w:bookmarkEnd w:id="2"/>
    </w:p>
    <w:p w14:paraId="2475592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49142D2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赛场周围要设立警戒线，防止无关人员进入发生意外事件。比赛现场内应参照相关职业岗位的要求为选手提供必要的劳动保护。在具有危险性的操作环节，裁判员要严防选手出现错误操作。</w:t>
      </w:r>
    </w:p>
    <w:p w14:paraId="6DFCF526">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承办单位应提供保证应急预案实施的条件。对于比赛内容涉及高空作业、可能有坠物、大用电量、易发生火灾等情况的赛项，必须明确制度和预案，并配备急救人员与设施。</w:t>
      </w:r>
    </w:p>
    <w:p w14:paraId="0CED7212">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执委会须会同承办单位制定开放赛场和体验区的人员疏导方案。赛场环境中存在人员密集、车流人流交错的区域，除了设置齐全的指示标志外，须增加引导人员，并开辟备用通道。</w:t>
      </w:r>
    </w:p>
    <w:p w14:paraId="33A95DCE">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大赛期间，承办单位须在赛场管理的关键岗位，增加力量，建立安全管理日志。</w:t>
      </w:r>
    </w:p>
    <w:p w14:paraId="2A5E9ACE">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参赛选手进入赛位、赛事裁判工作人员进入工作场所，严禁参赛选手携带通讯设备、移动存储设备、excel工具及其他与竞赛相关的资料与用品入场。严禁参赛选手携带违禁品、危险品入场。运营结束后，严禁参赛选手携带任何与竞赛相关的物品离场。如确有需要，由赛场统一配置、统一管理。赛项可根据需要配置安检设备对进入赛场重要部位的人员进行安检。</w:t>
      </w:r>
    </w:p>
    <w:p w14:paraId="2A6A5B67">
      <w:pPr>
        <w:spacing w:line="560" w:lineRule="exact"/>
        <w:ind w:firstLine="560" w:firstLineChars="200"/>
        <w:rPr>
          <w:rFonts w:ascii="仿宋" w:hAnsi="仿宋" w:eastAsia="仿宋" w:cs="仿宋"/>
          <w:color w:val="000000"/>
          <w:sz w:val="28"/>
          <w:szCs w:val="28"/>
          <w:lang w:val="zh-CN"/>
        </w:rPr>
      </w:pPr>
      <w:bookmarkStart w:id="3" w:name="_Toc361563585"/>
      <w:r>
        <w:rPr>
          <w:rFonts w:hint="eastAsia" w:ascii="仿宋" w:hAnsi="仿宋" w:eastAsia="仿宋" w:cs="仿宋"/>
          <w:color w:val="000000"/>
          <w:sz w:val="28"/>
          <w:szCs w:val="28"/>
          <w:lang w:val="zh-CN"/>
        </w:rPr>
        <w:t>（二）生活条件</w:t>
      </w:r>
      <w:bookmarkEnd w:id="3"/>
    </w:p>
    <w:p w14:paraId="6D02B401">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比赛期间，原则上由执委会统一安排参赛选手和指导教师食宿。承办单位须尊重少数民族的信仰及文化，根据国家相关的民族政策，安排好少数民族选手和教师的饮食起居。</w:t>
      </w:r>
    </w:p>
    <w:p w14:paraId="659C592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比赛期间安排的住宿地应具有宾馆/住宿经营许可资质。以学校宿舍作为住宿地的，大赛期间的住宿、卫生、饮食安全等由执委会和提供宿舍的学校共同负责。</w:t>
      </w:r>
    </w:p>
    <w:p w14:paraId="3D031824">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大赛期间有组织的参观和观摩活动的交通安全由执委会负责。执委会和承办单位须保证比赛期间选手、指导教师和裁判员、工作人员的交通安全。</w:t>
      </w:r>
    </w:p>
    <w:p w14:paraId="52A93858">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各赛项的安全管理，除了可以采取必要的安全隔离措施外，应严格遵守国家相关法律法规，保护个人隐私和人身自由。</w:t>
      </w:r>
    </w:p>
    <w:p w14:paraId="70FA85E8">
      <w:pPr>
        <w:spacing w:line="560" w:lineRule="exact"/>
        <w:ind w:firstLine="560" w:firstLineChars="200"/>
        <w:rPr>
          <w:rFonts w:ascii="仿宋" w:hAnsi="仿宋" w:eastAsia="仿宋" w:cs="仿宋"/>
          <w:color w:val="000000"/>
          <w:sz w:val="28"/>
          <w:szCs w:val="28"/>
          <w:lang w:val="zh-CN"/>
        </w:rPr>
      </w:pPr>
      <w:bookmarkStart w:id="4" w:name="_Toc361563586"/>
      <w:r>
        <w:rPr>
          <w:rFonts w:hint="eastAsia" w:ascii="仿宋" w:hAnsi="仿宋" w:eastAsia="仿宋" w:cs="仿宋"/>
          <w:color w:val="000000"/>
          <w:sz w:val="28"/>
          <w:szCs w:val="28"/>
          <w:lang w:val="zh-CN"/>
        </w:rPr>
        <w:t>（三）组队责任</w:t>
      </w:r>
      <w:bookmarkEnd w:id="4"/>
    </w:p>
    <w:p w14:paraId="64968D45">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1.各学校组织代表队时，须安排为参赛选手购买大赛期间的人身意外伤害保险。</w:t>
      </w:r>
    </w:p>
    <w:p w14:paraId="2F30610F">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2.各学校代表队组成后，须制定相关管理制度，并对所有选手、指导教师进行安全教育。</w:t>
      </w:r>
    </w:p>
    <w:p w14:paraId="139FDB7E">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3.各参赛队伍须加强对参与比赛人员的安全管理，实现与赛场安全管理的对接。</w:t>
      </w:r>
    </w:p>
    <w:p w14:paraId="39A04751">
      <w:pPr>
        <w:spacing w:line="560" w:lineRule="exact"/>
        <w:ind w:firstLine="560" w:firstLineChars="200"/>
        <w:rPr>
          <w:rFonts w:ascii="仿宋" w:hAnsi="仿宋" w:eastAsia="仿宋" w:cs="仿宋"/>
          <w:color w:val="000000"/>
          <w:sz w:val="28"/>
          <w:szCs w:val="28"/>
          <w:lang w:val="zh-CN"/>
        </w:rPr>
      </w:pPr>
      <w:bookmarkStart w:id="5" w:name="_Toc361563587"/>
      <w:r>
        <w:rPr>
          <w:rFonts w:hint="eastAsia" w:ascii="仿宋" w:hAnsi="仿宋" w:eastAsia="仿宋" w:cs="仿宋"/>
          <w:color w:val="000000"/>
          <w:sz w:val="28"/>
          <w:szCs w:val="28"/>
          <w:lang w:val="zh-CN"/>
        </w:rPr>
        <w:t>（四）应急处理</w:t>
      </w:r>
      <w:bookmarkEnd w:id="5"/>
    </w:p>
    <w:p w14:paraId="0E3E7BBC">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14:paraId="47666EF1">
      <w:pPr>
        <w:spacing w:line="560" w:lineRule="exact"/>
        <w:ind w:firstLine="560" w:firstLineChars="200"/>
        <w:rPr>
          <w:rFonts w:ascii="仿宋" w:hAnsi="仿宋" w:eastAsia="仿宋" w:cs="仿宋"/>
          <w:color w:val="000000"/>
          <w:sz w:val="28"/>
          <w:szCs w:val="28"/>
          <w:lang w:val="zh-CN"/>
        </w:rPr>
      </w:pPr>
      <w:bookmarkStart w:id="6" w:name="_Toc361563588"/>
      <w:r>
        <w:rPr>
          <w:rFonts w:hint="eastAsia" w:ascii="仿宋" w:hAnsi="仿宋" w:eastAsia="仿宋" w:cs="仿宋"/>
          <w:color w:val="000000"/>
          <w:sz w:val="28"/>
          <w:szCs w:val="28"/>
          <w:lang w:val="zh-CN"/>
        </w:rPr>
        <w:t>（五）处罚措施</w:t>
      </w:r>
      <w:bookmarkEnd w:id="6"/>
    </w:p>
    <w:p w14:paraId="607181E2">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1.因参赛队伍原因造成重大安全事故的，取消其获奖资格。</w:t>
      </w:r>
    </w:p>
    <w:p w14:paraId="4000D825">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2.参赛队伍有发生重大安全事故隐患，经赛场工作人员提示、警告无效的，可取消其继续比赛的资格。</w:t>
      </w:r>
    </w:p>
    <w:p w14:paraId="4FDD7C3F">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3.赛事工作人员违规的，按照相应的制度追究责任。情节恶劣并造成重大安全事故的，由司法机关追究相应法律责任。</w:t>
      </w:r>
    </w:p>
    <w:p w14:paraId="4A1BA707">
      <w:pPr>
        <w:spacing w:line="560" w:lineRule="exact"/>
        <w:ind w:firstLine="602" w:firstLineChars="200"/>
        <w:rPr>
          <w:rFonts w:ascii="仿宋" w:hAnsi="仿宋" w:eastAsia="仿宋" w:cstheme="minorBidi"/>
          <w:b/>
          <w:bCs/>
          <w:sz w:val="30"/>
          <w:szCs w:val="30"/>
        </w:rPr>
      </w:pPr>
      <w:bookmarkStart w:id="7" w:name="_Toc493792072"/>
      <w:bookmarkStart w:id="8" w:name="_Hlk493194679"/>
      <w:r>
        <w:rPr>
          <w:rFonts w:hint="eastAsia" w:ascii="仿宋" w:hAnsi="仿宋" w:eastAsia="仿宋" w:cstheme="minorBidi"/>
          <w:b/>
          <w:bCs/>
          <w:sz w:val="30"/>
          <w:szCs w:val="30"/>
        </w:rPr>
        <w:t>十一、申诉与仲裁</w:t>
      </w:r>
    </w:p>
    <w:p w14:paraId="40CAC8FB">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（一）参赛队对不符合竞赛规定的设备、工具、软件，有失公正的评判、奖励，以及对工作人员的违规行为等，均可提出申诉。</w:t>
      </w:r>
    </w:p>
    <w:p w14:paraId="4E91DF70">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二）申诉应在本环节竞赛结束后1小时内提出，超过时效将不予受理。申诉时，应按照规定的程序由参赛队领队向相应赛项仲裁工作组递交书面申诉报告。报告应对申诉事件的现象、发生的时间、涉及到的人员、申诉依据与理由等进行充分、实事求是的陈述。事实依据不充分、仅凭主观臆断的申诉不予受理。申诉报告须有申诉的参赛选手、领队签名。</w:t>
      </w:r>
    </w:p>
    <w:p w14:paraId="006864D5">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（三）赛项仲裁工作组在接到申诉后的1小时内组织处理，并及时反馈处理结果。</w:t>
      </w:r>
    </w:p>
    <w:p w14:paraId="19296A6A">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（四）申诉人不得无故拒不接受处理结果，不允许采取过激行为刁难、攻击工作人员，否则视为放弃申诉。</w:t>
      </w:r>
    </w:p>
    <w:p w14:paraId="49C7943F">
      <w:pPr>
        <w:spacing w:line="56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zh-CN"/>
        </w:rPr>
        <w:t>（六）参赛队不得因提起申诉或对申诉处理意见不服而停止竞赛或滋事，否则按弃权处理。</w:t>
      </w:r>
    </w:p>
    <w:p w14:paraId="53CB38D2">
      <w:pPr>
        <w:spacing w:line="56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（七）竞赛不因申诉事件而组织重赛。</w:t>
      </w:r>
      <w:bookmarkEnd w:id="7"/>
      <w:bookmarkEnd w:id="8"/>
    </w:p>
    <w:p w14:paraId="58143AB1">
      <w:pPr>
        <w:spacing w:line="560" w:lineRule="exact"/>
        <w:ind w:firstLine="560" w:firstLineChars="200"/>
        <w:rPr>
          <w:rFonts w:hint="eastAsia" w:ascii="仿宋" w:hAnsi="仿宋" w:eastAsia="仿宋" w:cs="仿宋"/>
          <w:color w:val="000000"/>
          <w:sz w:val="28"/>
          <w:szCs w:val="28"/>
          <w:lang w:val="zh-CN"/>
        </w:rPr>
      </w:pPr>
    </w:p>
    <w:p w14:paraId="0FCD2BB3">
      <w:pPr>
        <w:spacing w:line="560" w:lineRule="exact"/>
        <w:ind w:firstLine="560" w:firstLineChars="200"/>
        <w:rPr>
          <w:rFonts w:hint="eastAsia" w:ascii="仿宋" w:hAnsi="仿宋" w:eastAsia="仿宋" w:cs="仿宋"/>
          <w:color w:val="000000"/>
          <w:sz w:val="28"/>
          <w:szCs w:val="28"/>
          <w:lang w:val="zh-CN"/>
        </w:rPr>
      </w:pPr>
    </w:p>
    <w:p w14:paraId="761E0CE4">
      <w:pPr>
        <w:spacing w:line="560" w:lineRule="exact"/>
        <w:ind w:firstLine="560" w:firstLineChars="200"/>
        <w:rPr>
          <w:rFonts w:hint="eastAsia" w:ascii="仿宋" w:hAnsi="仿宋" w:eastAsia="仿宋" w:cs="仿宋"/>
          <w:color w:val="000000"/>
          <w:sz w:val="28"/>
          <w:szCs w:val="28"/>
          <w:lang w:val="zh-CN"/>
        </w:rPr>
      </w:pPr>
    </w:p>
    <w:p w14:paraId="6764484F">
      <w:pPr>
        <w:rPr>
          <w:rFonts w:ascii="仿宋" w:hAnsi="仿宋" w:eastAsia="仿宋" w:cs="仿宋"/>
          <w:color w:val="000000"/>
          <w:sz w:val="28"/>
          <w:szCs w:val="28"/>
          <w:lang w:val="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41E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C1E425">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2C1E42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MmM2YTFkNjMxZWQwMGUwYWNlMGM1MTY5MTRlNWQifQ=="/>
  </w:docVars>
  <w:rsids>
    <w:rsidRoot w:val="74203E0F"/>
    <w:rsid w:val="000E23F2"/>
    <w:rsid w:val="000F600D"/>
    <w:rsid w:val="00114C53"/>
    <w:rsid w:val="00117F03"/>
    <w:rsid w:val="0014484E"/>
    <w:rsid w:val="00192BF8"/>
    <w:rsid w:val="00194487"/>
    <w:rsid w:val="001C0C89"/>
    <w:rsid w:val="001F6C9C"/>
    <w:rsid w:val="0020740F"/>
    <w:rsid w:val="00243762"/>
    <w:rsid w:val="002E11BB"/>
    <w:rsid w:val="00314F3F"/>
    <w:rsid w:val="00352734"/>
    <w:rsid w:val="003846DD"/>
    <w:rsid w:val="00385AD5"/>
    <w:rsid w:val="003E6D73"/>
    <w:rsid w:val="004661E0"/>
    <w:rsid w:val="00482A9F"/>
    <w:rsid w:val="004950C6"/>
    <w:rsid w:val="004D64DE"/>
    <w:rsid w:val="00523A6D"/>
    <w:rsid w:val="00544C9D"/>
    <w:rsid w:val="00596A10"/>
    <w:rsid w:val="0064303B"/>
    <w:rsid w:val="006D5529"/>
    <w:rsid w:val="007128D8"/>
    <w:rsid w:val="007371D8"/>
    <w:rsid w:val="00791409"/>
    <w:rsid w:val="007A2658"/>
    <w:rsid w:val="007C07F0"/>
    <w:rsid w:val="007C525A"/>
    <w:rsid w:val="00817B02"/>
    <w:rsid w:val="00830F4C"/>
    <w:rsid w:val="00834804"/>
    <w:rsid w:val="0084307E"/>
    <w:rsid w:val="008826D7"/>
    <w:rsid w:val="008A7AD8"/>
    <w:rsid w:val="00933B09"/>
    <w:rsid w:val="009D60A5"/>
    <w:rsid w:val="00A30E28"/>
    <w:rsid w:val="00A43874"/>
    <w:rsid w:val="00A878B2"/>
    <w:rsid w:val="00AF77B2"/>
    <w:rsid w:val="00B07CD7"/>
    <w:rsid w:val="00B43439"/>
    <w:rsid w:val="00BB183B"/>
    <w:rsid w:val="00BC6003"/>
    <w:rsid w:val="00BD3E2F"/>
    <w:rsid w:val="00BE1DF9"/>
    <w:rsid w:val="00C464A6"/>
    <w:rsid w:val="00C50A59"/>
    <w:rsid w:val="00C5149C"/>
    <w:rsid w:val="00C5651E"/>
    <w:rsid w:val="00C63EFF"/>
    <w:rsid w:val="00CC6AC4"/>
    <w:rsid w:val="00D105D9"/>
    <w:rsid w:val="00D1383F"/>
    <w:rsid w:val="00D51F94"/>
    <w:rsid w:val="00DD5433"/>
    <w:rsid w:val="00E51CA6"/>
    <w:rsid w:val="00E56EFD"/>
    <w:rsid w:val="00E577C1"/>
    <w:rsid w:val="00E6499D"/>
    <w:rsid w:val="00E75430"/>
    <w:rsid w:val="00EC3F8F"/>
    <w:rsid w:val="00ED4ECF"/>
    <w:rsid w:val="00F375D4"/>
    <w:rsid w:val="00F44273"/>
    <w:rsid w:val="00F556C1"/>
    <w:rsid w:val="00F71ECD"/>
    <w:rsid w:val="00F778D7"/>
    <w:rsid w:val="00FB406E"/>
    <w:rsid w:val="00FC6F91"/>
    <w:rsid w:val="00FF6AFD"/>
    <w:rsid w:val="05B66C8F"/>
    <w:rsid w:val="0C4C20FB"/>
    <w:rsid w:val="0E3110F0"/>
    <w:rsid w:val="125629DD"/>
    <w:rsid w:val="15404E1E"/>
    <w:rsid w:val="165D1F03"/>
    <w:rsid w:val="1D59387D"/>
    <w:rsid w:val="1F1F71FB"/>
    <w:rsid w:val="21A87AF6"/>
    <w:rsid w:val="22883407"/>
    <w:rsid w:val="25307670"/>
    <w:rsid w:val="26A36232"/>
    <w:rsid w:val="2973086F"/>
    <w:rsid w:val="29F95812"/>
    <w:rsid w:val="2E1E0778"/>
    <w:rsid w:val="31086840"/>
    <w:rsid w:val="34005616"/>
    <w:rsid w:val="35E30283"/>
    <w:rsid w:val="364A07DB"/>
    <w:rsid w:val="36A87FB2"/>
    <w:rsid w:val="3AC70380"/>
    <w:rsid w:val="3B14742B"/>
    <w:rsid w:val="3DAD6945"/>
    <w:rsid w:val="3E5678E2"/>
    <w:rsid w:val="412A5DDA"/>
    <w:rsid w:val="44BB3D07"/>
    <w:rsid w:val="472C5C11"/>
    <w:rsid w:val="48FA020D"/>
    <w:rsid w:val="4A8B21F5"/>
    <w:rsid w:val="4C3D66D8"/>
    <w:rsid w:val="503C3DA3"/>
    <w:rsid w:val="52045748"/>
    <w:rsid w:val="53D5318B"/>
    <w:rsid w:val="55327C48"/>
    <w:rsid w:val="557071FD"/>
    <w:rsid w:val="57C71C02"/>
    <w:rsid w:val="59233F27"/>
    <w:rsid w:val="5ADF54B5"/>
    <w:rsid w:val="5B06262D"/>
    <w:rsid w:val="5DF272AA"/>
    <w:rsid w:val="5E623FF6"/>
    <w:rsid w:val="5F525386"/>
    <w:rsid w:val="5F804BA0"/>
    <w:rsid w:val="5FF83326"/>
    <w:rsid w:val="678F7E46"/>
    <w:rsid w:val="6A313B9E"/>
    <w:rsid w:val="6EE8280D"/>
    <w:rsid w:val="6FEB002F"/>
    <w:rsid w:val="73DA3923"/>
    <w:rsid w:val="74203E0F"/>
    <w:rsid w:val="773E2944"/>
    <w:rsid w:val="77773C9A"/>
    <w:rsid w:val="7D411EB9"/>
    <w:rsid w:val="7D852E89"/>
    <w:rsid w:val="7E91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rPr>
      <w:sz w:val="20"/>
      <w:szCs w:val="20"/>
    </w:rPr>
  </w:style>
  <w:style w:type="paragraph" w:styleId="5">
    <w:name w:val="Body Text"/>
    <w:basedOn w:val="1"/>
    <w:qFormat/>
    <w:uiPriority w:val="1"/>
    <w:pPr>
      <w:widowControl w:val="0"/>
      <w:spacing w:before="41"/>
      <w:ind w:left="118"/>
      <w:jc w:val="both"/>
    </w:pPr>
    <w:rPr>
      <w:rFonts w:ascii="仿宋" w:hAnsi="仿宋" w:eastAsia="仿宋" w:cstheme="minorBidi"/>
      <w:kern w:val="2"/>
      <w:sz w:val="28"/>
      <w:szCs w:val="2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kern w:val="0"/>
      <w:sz w:val="18"/>
      <w:szCs w:val="18"/>
    </w:rPr>
  </w:style>
  <w:style w:type="paragraph" w:styleId="9">
    <w:name w:val="Body Text First Indent"/>
    <w:unhideWhenUsed/>
    <w:qFormat/>
    <w:uiPriority w:val="0"/>
    <w:pPr>
      <w:widowControl w:val="0"/>
      <w:spacing w:before="41"/>
      <w:ind w:left="118" w:firstLine="420" w:firstLineChars="100"/>
      <w:jc w:val="both"/>
    </w:pPr>
    <w:rPr>
      <w:rFonts w:ascii="仿宋" w:hAnsi="仿宋" w:eastAsia="仿宋" w:cstheme="minorBidi"/>
      <w:kern w:val="2"/>
      <w:sz w:val="28"/>
      <w:szCs w:val="28"/>
      <w:lang w:val="en-US" w:eastAsia="zh-CN" w:bidi="ar-SA"/>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otnote reference"/>
    <w:qFormat/>
    <w:uiPriority w:val="0"/>
    <w:rPr>
      <w:rFonts w:cs="Times New Roman"/>
      <w:vertAlign w:val="superscript"/>
    </w:rPr>
  </w:style>
  <w:style w:type="paragraph" w:styleId="14">
    <w:name w:val="List Paragraph"/>
    <w:basedOn w:val="1"/>
    <w:unhideWhenUsed/>
    <w:qFormat/>
    <w:uiPriority w:val="34"/>
    <w:pPr>
      <w:ind w:firstLine="420" w:firstLineChars="200"/>
    </w:pPr>
  </w:style>
  <w:style w:type="paragraph" w:customStyle="1" w:styleId="15">
    <w:name w:val="5-内文"/>
    <w:basedOn w:val="1"/>
    <w:qFormat/>
    <w:uiPriority w:val="0"/>
    <w:rPr>
      <w:rFonts w:eastAsiaTheme="minorEastAsia"/>
      <w:kern w:val="0"/>
      <w:sz w:val="24"/>
    </w:rPr>
  </w:style>
  <w:style w:type="paragraph" w:customStyle="1" w:styleId="16">
    <w:name w:val="样式 行距: 1.5 倍行距"/>
    <w:basedOn w:val="1"/>
    <w:qFormat/>
    <w:uiPriority w:val="0"/>
    <w:pPr>
      <w:adjustRightInd w:val="0"/>
      <w:snapToGrid w:val="0"/>
      <w:spacing w:line="400" w:lineRule="exact"/>
      <w:jc w:val="center"/>
    </w:pPr>
    <w:rPr>
      <w:rFonts w:ascii="宋体" w:hAnsi="宋体" w:eastAsia="仿宋" w:cs="宋体"/>
      <w:szCs w:val="21"/>
    </w:rPr>
  </w:style>
  <w:style w:type="character" w:customStyle="1" w:styleId="17">
    <w:name w:val="font01"/>
    <w:qFormat/>
    <w:uiPriority w:val="0"/>
    <w:rPr>
      <w:rFonts w:hint="eastAsia" w:ascii="宋体" w:hAnsi="宋体" w:eastAsia="宋体" w:cs="宋体"/>
      <w:color w:val="000000"/>
      <w:sz w:val="24"/>
      <w:szCs w:val="24"/>
      <w:u w:val="none"/>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页眉 Char"/>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5118</Words>
  <Characters>5472</Characters>
  <Lines>41</Lines>
  <Paragraphs>11</Paragraphs>
  <TotalTime>3</TotalTime>
  <ScaleCrop>false</ScaleCrop>
  <LinksUpToDate>false</LinksUpToDate>
  <CharactersWithSpaces>5504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2019-09-06T23:09:00Z</dcterms:created>
  <dc:creator> 沉浮</dc:creator>
  <cp:lastModifiedBy>果儿</cp:lastModifiedBy>
  <dcterms:modified xsi:type="dcterms:W3CDTF">2026-06-16T04:32:58Z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A97D0D5D3F054539B3F1E5A246B77307</vt:lpwstr>
  </property>
  <property fmtid="{D5CDD505-2E9C-101B-9397-08002B2CF9AE}" pid="4" name="KSOTemplateDocerSaveRecord">
    <vt:lpwstr>eyJoZGlkIjoiNWFiZjkzZDczZjE3YmVmMTM1YTA0YTI2MzAyMWZhZDMiLCJ1c2VySWQiOiI0NjgxMzA0MTkifQ==</vt:lpwstr>
  </property>
</Properties>
</file>