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72BC7">
      <w:pPr>
        <w:spacing w:line="243" w:lineRule="auto"/>
        <w:rPr>
          <w:rFonts w:ascii="Arial"/>
          <w:sz w:val="21"/>
        </w:rPr>
      </w:pPr>
    </w:p>
    <w:p w14:paraId="46C6EC44">
      <w:pPr>
        <w:spacing w:line="243" w:lineRule="auto"/>
        <w:rPr>
          <w:rFonts w:ascii="Arial"/>
          <w:sz w:val="21"/>
        </w:rPr>
      </w:pPr>
    </w:p>
    <w:p w14:paraId="752EE907">
      <w:pPr>
        <w:spacing w:before="140" w:line="223" w:lineRule="auto"/>
        <w:jc w:val="center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spacing w:val="5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2026年唐山市技能</w:t>
      </w:r>
      <w:r>
        <w:rPr>
          <w:rFonts w:hint="eastAsia" w:ascii="宋体" w:hAnsi="宋体" w:eastAsia="宋体" w:cs="宋体"/>
          <w:spacing w:val="5"/>
          <w:sz w:val="43"/>
          <w:szCs w:val="43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大</w:t>
      </w:r>
      <w:r>
        <w:rPr>
          <w:rFonts w:hint="eastAsia" w:ascii="宋体" w:hAnsi="宋体" w:eastAsia="宋体" w:cs="宋体"/>
          <w:spacing w:val="5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赛（中职组）</w:t>
      </w:r>
    </w:p>
    <w:p w14:paraId="17957C4D">
      <w:pPr>
        <w:spacing w:before="49" w:line="223" w:lineRule="auto"/>
        <w:ind w:left="1314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0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移动应用与开发赛项竞赛规程</w:t>
      </w:r>
    </w:p>
    <w:p w14:paraId="7C6E6EB6">
      <w:pPr>
        <w:spacing w:line="322" w:lineRule="auto"/>
        <w:rPr>
          <w:rFonts w:ascii="Arial"/>
          <w:sz w:val="21"/>
        </w:rPr>
      </w:pPr>
    </w:p>
    <w:p w14:paraId="0420BDD7">
      <w:pPr>
        <w:spacing w:line="322" w:lineRule="auto"/>
        <w:rPr>
          <w:rFonts w:ascii="Arial"/>
          <w:sz w:val="21"/>
        </w:rPr>
      </w:pPr>
    </w:p>
    <w:p w14:paraId="1C95F33F">
      <w:pPr>
        <w:spacing w:before="91" w:line="222" w:lineRule="auto"/>
        <w:ind w:left="29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一、赛项名称</w:t>
      </w:r>
    </w:p>
    <w:p w14:paraId="28EF80F9">
      <w:pPr>
        <w:pStyle w:val="2"/>
        <w:spacing w:before="222" w:line="561" w:lineRule="exact"/>
        <w:ind w:left="591"/>
      </w:pPr>
      <w:r>
        <w:rPr>
          <w:spacing w:val="-2"/>
          <w:position w:val="21"/>
        </w:rPr>
        <w:t>赛项名称：移动应用与开发</w:t>
      </w:r>
    </w:p>
    <w:p w14:paraId="692B69B5">
      <w:pPr>
        <w:pStyle w:val="2"/>
        <w:spacing w:line="222" w:lineRule="auto"/>
        <w:ind w:left="591"/>
      </w:pPr>
      <w:r>
        <w:rPr>
          <w:spacing w:val="-2"/>
        </w:rPr>
        <w:t>赛项归属：电子信息大类</w:t>
      </w:r>
    </w:p>
    <w:p w14:paraId="7B2F7F3E">
      <w:pPr>
        <w:spacing w:before="222" w:line="222" w:lineRule="auto"/>
        <w:ind w:left="29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二、竞赛目的</w:t>
      </w:r>
    </w:p>
    <w:p w14:paraId="25B63BE6">
      <w:pPr>
        <w:pStyle w:val="2"/>
        <w:spacing w:before="222" w:line="223" w:lineRule="auto"/>
        <w:ind w:left="603"/>
      </w:pPr>
      <w:r>
        <w:rPr>
          <w:spacing w:val="-3"/>
        </w:rPr>
        <w:t>1.服务国家战略与产业发展</w:t>
      </w:r>
    </w:p>
    <w:p w14:paraId="66BC2486">
      <w:pPr>
        <w:pStyle w:val="2"/>
        <w:spacing w:before="224" w:line="369" w:lineRule="auto"/>
        <w:ind w:left="32" w:firstLine="560"/>
      </w:pPr>
      <w:r>
        <w:rPr>
          <w:spacing w:val="-5"/>
        </w:rPr>
        <w:t>软件是新一代信息技术的灵魂，是制造强国、网络强国、数字中</w:t>
      </w:r>
      <w:r>
        <w:rPr>
          <w:spacing w:val="-6"/>
        </w:rPr>
        <w:t xml:space="preserve">  国建设的关键支撑。随着移动设备的广泛普及和应用程序的不断增加，</w:t>
      </w:r>
      <w:r>
        <w:rPr>
          <w:spacing w:val="15"/>
        </w:rPr>
        <w:t xml:space="preserve"> </w:t>
      </w:r>
      <w:r>
        <w:rPr>
          <w:spacing w:val="-5"/>
        </w:rPr>
        <w:t xml:space="preserve">移动应用已成为软件领域的核心组成部分之一。赛项围绕数字经济国  </w:t>
      </w:r>
      <w:r>
        <w:rPr>
          <w:spacing w:val="-4"/>
        </w:rPr>
        <w:t>家战略，面向智慧健康、乡村振兴、数字社区等真实业务场景，服务</w:t>
      </w:r>
    </w:p>
    <w:p w14:paraId="47E3602A">
      <w:pPr>
        <w:pStyle w:val="2"/>
        <w:spacing w:before="1" w:line="222" w:lineRule="auto"/>
        <w:ind w:left="31"/>
      </w:pPr>
      <w:r>
        <w:rPr>
          <w:spacing w:val="-1"/>
        </w:rPr>
        <w:t>数字产业化、产业数字化发展对移动应用开发技术技能人才的需求。</w:t>
      </w:r>
    </w:p>
    <w:p w14:paraId="055924F5">
      <w:pPr>
        <w:pStyle w:val="2"/>
        <w:spacing w:before="222" w:line="222" w:lineRule="auto"/>
        <w:ind w:left="586"/>
      </w:pPr>
      <w:r>
        <w:rPr>
          <w:spacing w:val="-1"/>
        </w:rPr>
        <w:t>2.促进产教融合与科创融汇</w:t>
      </w:r>
    </w:p>
    <w:p w14:paraId="290378F2">
      <w:pPr>
        <w:pStyle w:val="2"/>
        <w:spacing w:before="226" w:line="369" w:lineRule="auto"/>
        <w:ind w:left="33" w:right="173" w:firstLine="558"/>
      </w:pPr>
      <w:r>
        <w:rPr>
          <w:spacing w:val="-4"/>
        </w:rPr>
        <w:t>赛项对接移动应用领域新技术、新产业、新业态、新模式、新岗</w:t>
      </w:r>
      <w:r>
        <w:t xml:space="preserve"> </w:t>
      </w:r>
      <w:r>
        <w:rPr>
          <w:spacing w:val="-4"/>
        </w:rPr>
        <w:t>位，引领产教融合型企业、龙头企业、跨国公司深度参与、全方位参</w:t>
      </w:r>
      <w:r>
        <w:rPr>
          <w:spacing w:val="5"/>
        </w:rPr>
        <w:t xml:space="preserve"> </w:t>
      </w:r>
      <w:r>
        <w:rPr>
          <w:spacing w:val="-2"/>
        </w:rPr>
        <w:t>与职业教育人才培养、社会服务、科研创新等环节，促</w:t>
      </w:r>
      <w:r>
        <w:rPr>
          <w:spacing w:val="-3"/>
        </w:rPr>
        <w:t>进产教融合、</w:t>
      </w:r>
    </w:p>
    <w:p w14:paraId="00CADC95">
      <w:pPr>
        <w:pStyle w:val="2"/>
        <w:spacing w:before="1" w:line="222" w:lineRule="auto"/>
        <w:ind w:left="33"/>
      </w:pPr>
      <w:r>
        <w:rPr>
          <w:spacing w:val="-4"/>
        </w:rPr>
        <w:t>科创融汇。</w:t>
      </w:r>
    </w:p>
    <w:p w14:paraId="193A3751">
      <w:pPr>
        <w:pStyle w:val="2"/>
        <w:spacing w:before="221" w:line="223" w:lineRule="auto"/>
        <w:ind w:left="588"/>
      </w:pPr>
      <w:r>
        <w:rPr>
          <w:spacing w:val="-4"/>
        </w:rPr>
        <w:t>3.引领专业建设与“三教</w:t>
      </w:r>
      <w:r>
        <w:rPr>
          <w:spacing w:val="-95"/>
        </w:rPr>
        <w:t xml:space="preserve"> </w:t>
      </w:r>
      <w:r>
        <w:rPr>
          <w:spacing w:val="-4"/>
        </w:rPr>
        <w:t>”改革</w:t>
      </w:r>
    </w:p>
    <w:p w14:paraId="72A1EEAA">
      <w:pPr>
        <w:pStyle w:val="2"/>
        <w:spacing w:before="222" w:line="369" w:lineRule="auto"/>
        <w:ind w:left="31" w:right="222" w:firstLine="588"/>
      </w:pPr>
      <w:r>
        <w:rPr>
          <w:spacing w:val="-5"/>
        </w:rPr>
        <w:t>围绕国家教学标准、真实工作过程任务要求和企业生产现实需要</w:t>
      </w:r>
      <w:r>
        <w:t xml:space="preserve"> </w:t>
      </w:r>
      <w:r>
        <w:rPr>
          <w:spacing w:val="-1"/>
        </w:rPr>
        <w:t>设计比赛，对接“</w:t>
      </w:r>
      <w:r>
        <w:rPr>
          <w:spacing w:val="-107"/>
        </w:rPr>
        <w:t xml:space="preserve"> </w:t>
      </w:r>
      <w:r>
        <w:rPr>
          <w:spacing w:val="-1"/>
        </w:rPr>
        <w:t>1+X</w:t>
      </w:r>
      <w:r>
        <w:rPr>
          <w:spacing w:val="-104"/>
        </w:rPr>
        <w:t xml:space="preserve"> </w:t>
      </w:r>
      <w:r>
        <w:rPr>
          <w:spacing w:val="-1"/>
        </w:rPr>
        <w:t>”证书制度及相关标</w:t>
      </w:r>
      <w:r>
        <w:rPr>
          <w:spacing w:val="-2"/>
        </w:rPr>
        <w:t>准，加强赛后资源转化，</w:t>
      </w:r>
      <w:r>
        <w:t xml:space="preserve"> </w:t>
      </w:r>
      <w:r>
        <w:rPr>
          <w:spacing w:val="-4"/>
        </w:rPr>
        <w:t>将竞赛成果转化为教材、课程和实训项目等资源，融入教学、服务教</w:t>
      </w:r>
    </w:p>
    <w:p w14:paraId="6BFA5449">
      <w:pPr>
        <w:pStyle w:val="2"/>
        <w:spacing w:before="1" w:line="222" w:lineRule="auto"/>
        <w:ind w:left="44"/>
      </w:pPr>
      <w:r>
        <w:rPr>
          <w:spacing w:val="-7"/>
        </w:rPr>
        <w:t>学、引领教学，落实赛课融通、赛训结合，有效推进“</w:t>
      </w:r>
      <w:r>
        <w:rPr>
          <w:spacing w:val="-77"/>
        </w:rPr>
        <w:t xml:space="preserve"> </w:t>
      </w:r>
      <w:r>
        <w:rPr>
          <w:spacing w:val="-7"/>
        </w:rPr>
        <w:t>岗课赛证</w:t>
      </w:r>
      <w:r>
        <w:rPr>
          <w:spacing w:val="-103"/>
        </w:rPr>
        <w:t xml:space="preserve"> </w:t>
      </w:r>
      <w:r>
        <w:rPr>
          <w:spacing w:val="-7"/>
        </w:rPr>
        <w:t>”综</w:t>
      </w:r>
    </w:p>
    <w:p w14:paraId="66D15190">
      <w:pPr>
        <w:spacing w:line="222" w:lineRule="auto"/>
        <w:sectPr>
          <w:footerReference r:id="rId5" w:type="default"/>
          <w:pgSz w:w="11906" w:h="16839"/>
          <w:pgMar w:top="1431" w:right="1577" w:bottom="1142" w:left="1785" w:header="0" w:footer="979" w:gutter="0"/>
          <w:cols w:space="720" w:num="1"/>
        </w:sectPr>
      </w:pPr>
    </w:p>
    <w:p w14:paraId="2B20F785">
      <w:pPr>
        <w:pStyle w:val="2"/>
        <w:spacing w:before="217" w:line="223" w:lineRule="auto"/>
        <w:ind w:left="40"/>
      </w:pPr>
      <w:r>
        <w:rPr>
          <w:spacing w:val="-7"/>
        </w:rPr>
        <w:t>合育人。</w:t>
      </w:r>
    </w:p>
    <w:p w14:paraId="340CC7D3">
      <w:pPr>
        <w:pStyle w:val="2"/>
        <w:spacing w:before="220" w:line="223" w:lineRule="auto"/>
        <w:ind w:left="581"/>
      </w:pPr>
      <w:r>
        <w:rPr>
          <w:spacing w:val="-1"/>
        </w:rPr>
        <w:t>4.彰显职教风采与技艺水平</w:t>
      </w:r>
    </w:p>
    <w:p w14:paraId="5B4EB008">
      <w:pPr>
        <w:pStyle w:val="2"/>
        <w:spacing w:before="222" w:line="369" w:lineRule="auto"/>
        <w:ind w:left="32" w:right="185" w:firstLine="559"/>
      </w:pPr>
      <w:r>
        <w:rPr>
          <w:spacing w:val="-4"/>
        </w:rPr>
        <w:t>赛项落实立德树人的根本任务，考察选手在真实软件项目中的职</w:t>
      </w:r>
      <w:r>
        <w:t xml:space="preserve"> </w:t>
      </w:r>
      <w:r>
        <w:rPr>
          <w:spacing w:val="-4"/>
        </w:rPr>
        <w:t>业素养、理论功底、实操能力、创新精神、合作意识，促进学生全面</w:t>
      </w:r>
      <w:r>
        <w:rPr>
          <w:spacing w:val="7"/>
        </w:rPr>
        <w:t xml:space="preserve"> </w:t>
      </w:r>
      <w:r>
        <w:rPr>
          <w:spacing w:val="-10"/>
        </w:rPr>
        <w:t>发展、终身发展，展现职教学生专业技能与职业风采，强化技能立身、</w:t>
      </w:r>
    </w:p>
    <w:p w14:paraId="25DE28F4">
      <w:pPr>
        <w:pStyle w:val="2"/>
        <w:spacing w:line="222" w:lineRule="auto"/>
        <w:ind w:left="33"/>
      </w:pPr>
      <w:r>
        <w:rPr>
          <w:spacing w:val="-1"/>
        </w:rPr>
        <w:t>技能报国的理念，让技能竞赛与思政教育同频共振。</w:t>
      </w:r>
    </w:p>
    <w:p w14:paraId="427567DF">
      <w:pPr>
        <w:spacing w:before="224" w:line="222" w:lineRule="auto"/>
        <w:ind w:left="30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三、竞赛内容</w:t>
      </w:r>
    </w:p>
    <w:p w14:paraId="1129BE6C">
      <w:pPr>
        <w:pStyle w:val="2"/>
        <w:spacing w:before="226" w:line="369" w:lineRule="auto"/>
        <w:ind w:left="33" w:right="198" w:firstLine="559"/>
      </w:pPr>
      <w:r>
        <w:rPr>
          <w:spacing w:val="-4"/>
        </w:rPr>
        <w:t>软件产业作为国家基础性、战略性产业，在促进国民经济和</w:t>
      </w:r>
      <w:r>
        <w:rPr>
          <w:spacing w:val="-5"/>
        </w:rPr>
        <w:t>社会</w:t>
      </w:r>
      <w:r>
        <w:t xml:space="preserve"> </w:t>
      </w:r>
      <w:r>
        <w:rPr>
          <w:spacing w:val="-4"/>
        </w:rPr>
        <w:t>发展、转变经济增长方式、提高经济运行效率、推进信息化与工业化</w:t>
      </w:r>
      <w:r>
        <w:rPr>
          <w:spacing w:val="5"/>
        </w:rPr>
        <w:t xml:space="preserve"> </w:t>
      </w:r>
      <w:r>
        <w:rPr>
          <w:spacing w:val="-4"/>
        </w:rPr>
        <w:t>融合等方面具有重要的作用，是国家重点支持和鼓励发展的产业。数</w:t>
      </w:r>
      <w:r>
        <w:rPr>
          <w:spacing w:val="5"/>
        </w:rPr>
        <w:t xml:space="preserve"> </w:t>
      </w:r>
      <w:r>
        <w:rPr>
          <w:spacing w:val="-4"/>
        </w:rPr>
        <w:t>字化转型、开放式创新、技术与业务深度融合是新时期软件产业发展</w:t>
      </w:r>
      <w:r>
        <w:rPr>
          <w:spacing w:val="5"/>
        </w:rPr>
        <w:t xml:space="preserve"> </w:t>
      </w:r>
      <w:r>
        <w:rPr>
          <w:spacing w:val="-4"/>
        </w:rPr>
        <w:t>的重要特点，以智慧养老、智慧社区等行业场景的企业真实移动应用</w:t>
      </w:r>
      <w:r>
        <w:rPr>
          <w:spacing w:val="5"/>
        </w:rPr>
        <w:t xml:space="preserve"> </w:t>
      </w:r>
      <w:r>
        <w:rPr>
          <w:spacing w:val="-1"/>
        </w:rPr>
        <w:t>项目为载体，通过在规定时间内完成移动应用界面设计、产</w:t>
      </w:r>
      <w:r>
        <w:rPr>
          <w:spacing w:val="-2"/>
        </w:rPr>
        <w:t>品开发、</w:t>
      </w:r>
      <w:r>
        <w:t xml:space="preserve"> </w:t>
      </w:r>
      <w:r>
        <w:rPr>
          <w:spacing w:val="-4"/>
        </w:rPr>
        <w:t>产品测试等相关工作任务，重点考核参赛选手的界面设计能力、编码</w:t>
      </w:r>
      <w:r>
        <w:rPr>
          <w:spacing w:val="5"/>
        </w:rPr>
        <w:t xml:space="preserve"> </w:t>
      </w:r>
      <w:r>
        <w:rPr>
          <w:spacing w:val="-10"/>
        </w:rPr>
        <w:t>能力、综合分析能力、产品测试与发布、撰写规范文档等方面</w:t>
      </w:r>
      <w:r>
        <w:rPr>
          <w:spacing w:val="-11"/>
        </w:rPr>
        <w:t>的能力，</w:t>
      </w:r>
    </w:p>
    <w:p w14:paraId="4B6FA9B1">
      <w:pPr>
        <w:pStyle w:val="2"/>
        <w:spacing w:before="1" w:line="220" w:lineRule="auto"/>
        <w:ind w:left="61"/>
      </w:pPr>
      <w:r>
        <w:rPr>
          <w:spacing w:val="-2"/>
        </w:rPr>
        <w:t>以及职业道德、沟通表达、团队合作、工匠精神等职业素养。</w:t>
      </w:r>
    </w:p>
    <w:p w14:paraId="74F0F839">
      <w:pPr>
        <w:pStyle w:val="2"/>
        <w:spacing w:before="224" w:line="559" w:lineRule="exact"/>
        <w:jc w:val="right"/>
      </w:pPr>
      <w:r>
        <w:rPr>
          <w:spacing w:val="-4"/>
          <w:position w:val="20"/>
        </w:rPr>
        <w:t>赛项比赛时间为</w:t>
      </w:r>
      <w:r>
        <w:rPr>
          <w:spacing w:val="-39"/>
          <w:position w:val="20"/>
        </w:rPr>
        <w:t xml:space="preserve"> </w:t>
      </w:r>
      <w:r>
        <w:rPr>
          <w:spacing w:val="-4"/>
          <w:position w:val="20"/>
        </w:rPr>
        <w:t>1</w:t>
      </w:r>
      <w:r>
        <w:rPr>
          <w:spacing w:val="-49"/>
          <w:position w:val="20"/>
        </w:rPr>
        <w:t xml:space="preserve"> </w:t>
      </w:r>
      <w:r>
        <w:rPr>
          <w:spacing w:val="-4"/>
          <w:position w:val="20"/>
        </w:rPr>
        <w:t>天（累计</w:t>
      </w:r>
      <w:r>
        <w:rPr>
          <w:spacing w:val="-62"/>
          <w:position w:val="20"/>
        </w:rPr>
        <w:t xml:space="preserve"> </w:t>
      </w:r>
      <w:r>
        <w:rPr>
          <w:spacing w:val="-4"/>
          <w:position w:val="20"/>
        </w:rPr>
        <w:t>4</w:t>
      </w:r>
      <w:r>
        <w:rPr>
          <w:spacing w:val="-53"/>
          <w:position w:val="20"/>
        </w:rPr>
        <w:t xml:space="preserve"> </w:t>
      </w:r>
      <w:r>
        <w:rPr>
          <w:spacing w:val="-4"/>
          <w:position w:val="20"/>
        </w:rPr>
        <w:t>小时</w:t>
      </w:r>
      <w:r>
        <w:rPr>
          <w:spacing w:val="-41"/>
          <w:position w:val="20"/>
        </w:rPr>
        <w:t>），</w:t>
      </w:r>
      <w:r>
        <w:rPr>
          <w:spacing w:val="-4"/>
          <w:position w:val="20"/>
        </w:rPr>
        <w:t>考核“移动应用界面设计”</w:t>
      </w:r>
    </w:p>
    <w:p w14:paraId="4B0AAD5A">
      <w:pPr>
        <w:pStyle w:val="2"/>
        <w:spacing w:before="1" w:line="222" w:lineRule="auto"/>
        <w:ind w:left="3"/>
      </w:pPr>
      <w:r>
        <w:rPr>
          <w:spacing w:val="-2"/>
        </w:rPr>
        <w:t>“移动应用前端开发</w:t>
      </w:r>
      <w:r>
        <w:rPr>
          <w:spacing w:val="-105"/>
        </w:rPr>
        <w:t xml:space="preserve"> </w:t>
      </w:r>
      <w:r>
        <w:rPr>
          <w:spacing w:val="-2"/>
        </w:rPr>
        <w:t>”和“移动应用测试与交</w:t>
      </w:r>
      <w:r>
        <w:rPr>
          <w:spacing w:val="-3"/>
        </w:rPr>
        <w:t>付</w:t>
      </w:r>
      <w:r>
        <w:rPr>
          <w:spacing w:val="-103"/>
        </w:rPr>
        <w:t xml:space="preserve"> </w:t>
      </w:r>
      <w:r>
        <w:rPr>
          <w:spacing w:val="-3"/>
        </w:rPr>
        <w:t>”三个模块。</w:t>
      </w:r>
    </w:p>
    <w:p w14:paraId="172E7AE2">
      <w:pPr>
        <w:pStyle w:val="2"/>
        <w:spacing w:before="224" w:line="223" w:lineRule="auto"/>
        <w:ind w:left="590"/>
      </w:pPr>
      <w:r>
        <w:rPr>
          <w:spacing w:val="-1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模块</w:t>
      </w:r>
      <w:r>
        <w:rPr>
          <w:spacing w:val="-65"/>
        </w:rPr>
        <w:t xml:space="preserve"> </w:t>
      </w:r>
      <w:r>
        <w:rPr>
          <w:spacing w:val="-1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A：移动应用界面设计</w:t>
      </w:r>
    </w:p>
    <w:p w14:paraId="1B7EC22D">
      <w:pPr>
        <w:pStyle w:val="2"/>
        <w:spacing w:before="223" w:line="369" w:lineRule="auto"/>
        <w:ind w:left="34" w:right="279" w:firstLine="561"/>
        <w:jc w:val="both"/>
      </w:pPr>
      <w:r>
        <w:rPr>
          <w:spacing w:val="-6"/>
        </w:rPr>
        <w:t>参赛选手依据给定的功能描述，使用</w:t>
      </w:r>
      <w:r>
        <w:rPr>
          <w:spacing w:val="-59"/>
        </w:rPr>
        <w:t xml:space="preserve"> </w:t>
      </w:r>
      <w:r>
        <w:rPr>
          <w:spacing w:val="-6"/>
        </w:rPr>
        <w:t>Photoshop 图像工具软件处</w:t>
      </w:r>
      <w:r>
        <w:t xml:space="preserve"> 理和设计图片，使用</w:t>
      </w:r>
      <w:r>
        <w:rPr>
          <w:spacing w:val="-67"/>
        </w:rPr>
        <w:t xml:space="preserve"> </w:t>
      </w:r>
      <w:r>
        <w:t>Adobe XD</w:t>
      </w:r>
      <w:r>
        <w:rPr>
          <w:spacing w:val="-49"/>
        </w:rPr>
        <w:t xml:space="preserve"> </w:t>
      </w:r>
      <w:r>
        <w:t>进行高保真原型设计，需符合移动应</w:t>
      </w:r>
    </w:p>
    <w:p w14:paraId="7372481D">
      <w:pPr>
        <w:pStyle w:val="2"/>
        <w:spacing w:line="222" w:lineRule="auto"/>
        <w:ind w:left="32"/>
      </w:pPr>
      <w:r>
        <w:rPr>
          <w:spacing w:val="-2"/>
        </w:rPr>
        <w:t>用</w:t>
      </w:r>
      <w:r>
        <w:rPr>
          <w:spacing w:val="-56"/>
        </w:rPr>
        <w:t xml:space="preserve"> </w:t>
      </w:r>
      <w:r>
        <w:rPr>
          <w:spacing w:val="-2"/>
        </w:rPr>
        <w:t>UI</w:t>
      </w:r>
      <w:r>
        <w:rPr>
          <w:spacing w:val="-54"/>
        </w:rPr>
        <w:t xml:space="preserve"> </w:t>
      </w:r>
      <w:r>
        <w:rPr>
          <w:spacing w:val="-2"/>
        </w:rPr>
        <w:t>设计规范，同时实现原型界面之间交互的功能。</w:t>
      </w:r>
    </w:p>
    <w:p w14:paraId="681D2406">
      <w:pPr>
        <w:pStyle w:val="2"/>
        <w:spacing w:before="223" w:line="222" w:lineRule="auto"/>
        <w:ind w:left="590"/>
      </w:pPr>
      <w:r>
        <w:rPr>
          <w:spacing w:val="-1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模块</w:t>
      </w:r>
      <w:r>
        <w:rPr>
          <w:spacing w:val="-65"/>
        </w:rPr>
        <w:t xml:space="preserve"> </w:t>
      </w:r>
      <w:r>
        <w:rPr>
          <w:spacing w:val="-1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B：移动应用前端开发</w:t>
      </w:r>
    </w:p>
    <w:p w14:paraId="602D4EF5">
      <w:pPr>
        <w:pStyle w:val="2"/>
        <w:spacing w:before="222" w:line="221" w:lineRule="auto"/>
        <w:jc w:val="right"/>
      </w:pPr>
      <w:r>
        <w:rPr>
          <w:spacing w:val="-6"/>
        </w:rPr>
        <w:t>参赛选手按照工作任务书的要求，遵循移动应用开发流程和规范，</w:t>
      </w:r>
    </w:p>
    <w:p w14:paraId="1431BE69">
      <w:pPr>
        <w:spacing w:line="221" w:lineRule="auto"/>
        <w:sectPr>
          <w:footerReference r:id="rId6" w:type="default"/>
          <w:pgSz w:w="11906" w:h="16839"/>
          <w:pgMar w:top="1431" w:right="1520" w:bottom="1142" w:left="1785" w:header="0" w:footer="979" w:gutter="0"/>
          <w:cols w:space="720" w:num="1"/>
        </w:sectPr>
      </w:pPr>
    </w:p>
    <w:p w14:paraId="7FBE4C1C">
      <w:pPr>
        <w:pStyle w:val="2"/>
        <w:spacing w:before="216" w:line="369" w:lineRule="auto"/>
        <w:ind w:left="35" w:right="13" w:hanging="4"/>
      </w:pPr>
      <w:r>
        <w:rPr>
          <w:spacing w:val="-1"/>
        </w:rPr>
        <w:t>利用</w:t>
      </w:r>
      <w:r>
        <w:rPr>
          <w:spacing w:val="-67"/>
        </w:rPr>
        <w:t xml:space="preserve"> </w:t>
      </w:r>
      <w:r>
        <w:rPr>
          <w:spacing w:val="-1"/>
        </w:rPr>
        <w:t>HTML5、CSS3、JavaScript</w:t>
      </w:r>
      <w:r>
        <w:rPr>
          <w:spacing w:val="-46"/>
        </w:rPr>
        <w:t xml:space="preserve"> </w:t>
      </w:r>
      <w:r>
        <w:rPr>
          <w:spacing w:val="-1"/>
        </w:rPr>
        <w:t>或</w:t>
      </w:r>
      <w:r>
        <w:rPr>
          <w:spacing w:val="-54"/>
        </w:rPr>
        <w:t xml:space="preserve"> </w:t>
      </w:r>
      <w:r>
        <w:rPr>
          <w:spacing w:val="-2"/>
        </w:rPr>
        <w:t>Java</w:t>
      </w:r>
      <w:r>
        <w:rPr>
          <w:spacing w:val="-50"/>
        </w:rPr>
        <w:t xml:space="preserve"> </w:t>
      </w:r>
      <w:r>
        <w:rPr>
          <w:spacing w:val="-2"/>
        </w:rPr>
        <w:t>技术，进行</w:t>
      </w:r>
      <w:r>
        <w:rPr>
          <w:spacing w:val="-67"/>
        </w:rPr>
        <w:t xml:space="preserve"> </w:t>
      </w:r>
      <w:r>
        <w:rPr>
          <w:spacing w:val="-2"/>
        </w:rPr>
        <w:t>App</w:t>
      </w:r>
      <w:r>
        <w:rPr>
          <w:spacing w:val="-51"/>
        </w:rPr>
        <w:t xml:space="preserve"> </w:t>
      </w:r>
      <w:r>
        <w:rPr>
          <w:spacing w:val="-2"/>
        </w:rPr>
        <w:t>应用模块的</w:t>
      </w:r>
      <w:r>
        <w:t xml:space="preserve"> </w:t>
      </w:r>
      <w:r>
        <w:rPr>
          <w:spacing w:val="1"/>
        </w:rPr>
        <w:t>前端代码编写，使用已提供的标准化后端服务接</w:t>
      </w:r>
      <w:r>
        <w:t>口（RESTful API）</w:t>
      </w:r>
    </w:p>
    <w:p w14:paraId="49D787A8">
      <w:pPr>
        <w:pStyle w:val="2"/>
        <w:spacing w:line="221" w:lineRule="auto"/>
        <w:ind w:left="34"/>
      </w:pPr>
      <w:r>
        <w:rPr>
          <w:spacing w:val="-2"/>
        </w:rPr>
        <w:t>进行业务数据获取，完成业务功能开发。</w:t>
      </w:r>
    </w:p>
    <w:p w14:paraId="442E74AE">
      <w:pPr>
        <w:pStyle w:val="2"/>
        <w:spacing w:before="225" w:line="224" w:lineRule="auto"/>
        <w:ind w:left="590"/>
      </w:pPr>
      <w:r>
        <w:rPr>
          <w:spacing w:val="-2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模块</w:t>
      </w:r>
      <w:r>
        <w:rPr>
          <w:spacing w:val="-50"/>
        </w:rPr>
        <w:t xml:space="preserve"> </w:t>
      </w:r>
      <w:r>
        <w:rPr>
          <w:spacing w:val="-2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C：移动应用测试与交付</w:t>
      </w:r>
    </w:p>
    <w:p w14:paraId="23FBCA0D">
      <w:pPr>
        <w:pStyle w:val="2"/>
        <w:spacing w:before="221" w:line="369" w:lineRule="auto"/>
        <w:ind w:left="38" w:right="13" w:firstLine="558"/>
        <w:jc w:val="both"/>
      </w:pPr>
      <w:r>
        <w:rPr>
          <w:spacing w:val="-4"/>
        </w:rPr>
        <w:t>参赛选手使用提供的待测应用，依照给定的测试范围</w:t>
      </w:r>
      <w:r>
        <w:rPr>
          <w:spacing w:val="-5"/>
        </w:rPr>
        <w:t>进行完整的</w:t>
      </w:r>
      <w:r>
        <w:t xml:space="preserve"> </w:t>
      </w:r>
      <w:r>
        <w:rPr>
          <w:spacing w:val="-2"/>
        </w:rPr>
        <w:t>功能测试，记录测试中出现的</w:t>
      </w:r>
      <w:r>
        <w:rPr>
          <w:spacing w:val="-70"/>
        </w:rPr>
        <w:t xml:space="preserve"> </w:t>
      </w:r>
      <w:r>
        <w:rPr>
          <w:spacing w:val="-2"/>
        </w:rPr>
        <w:t>Bug，并对</w:t>
      </w:r>
      <w:r>
        <w:rPr>
          <w:spacing w:val="-69"/>
        </w:rPr>
        <w:t xml:space="preserve"> </w:t>
      </w:r>
      <w:r>
        <w:rPr>
          <w:spacing w:val="-2"/>
        </w:rPr>
        <w:t>Bug</w:t>
      </w:r>
      <w:r>
        <w:rPr>
          <w:spacing w:val="-51"/>
        </w:rPr>
        <w:t xml:space="preserve"> </w:t>
      </w:r>
      <w:r>
        <w:rPr>
          <w:spacing w:val="-2"/>
        </w:rPr>
        <w:t>进行分析。</w:t>
      </w:r>
      <w:r>
        <w:rPr>
          <w:spacing w:val="-3"/>
        </w:rPr>
        <w:t>分析给定应</w:t>
      </w:r>
    </w:p>
    <w:p w14:paraId="6B92DCBD">
      <w:pPr>
        <w:pStyle w:val="2"/>
        <w:spacing w:line="222" w:lineRule="auto"/>
        <w:ind w:left="32"/>
      </w:pPr>
      <w:r>
        <w:rPr>
          <w:spacing w:val="-1"/>
        </w:rPr>
        <w:t>用的功能与业务流程，编写产品使用手册。</w:t>
      </w:r>
    </w:p>
    <w:p w14:paraId="7D715697">
      <w:pPr>
        <w:spacing w:before="221" w:line="222" w:lineRule="auto"/>
        <w:ind w:left="41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5"/>
          <w:sz w:val="28"/>
          <w:szCs w:val="28"/>
        </w:rPr>
        <w:t>四、竞赛方式</w:t>
      </w:r>
    </w:p>
    <w:p w14:paraId="24859C11">
      <w:pPr>
        <w:pStyle w:val="2"/>
        <w:spacing w:before="223" w:line="224" w:lineRule="auto"/>
        <w:ind w:left="592"/>
      </w:pPr>
      <w:r>
        <w:rPr>
          <w:spacing w:val="-2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（一）选手构成</w:t>
      </w:r>
    </w:p>
    <w:p w14:paraId="4849ECAC">
      <w:pPr>
        <w:pStyle w:val="2"/>
        <w:spacing w:before="222" w:line="559" w:lineRule="exact"/>
        <w:ind w:right="13"/>
        <w:jc w:val="right"/>
      </w:pPr>
      <w:r>
        <w:rPr>
          <w:spacing w:val="1"/>
          <w:position w:val="20"/>
        </w:rPr>
        <w:t>移动应用与开发赛项为团体赛。每支参赛队由 2 名参赛选</w:t>
      </w:r>
      <w:r>
        <w:rPr>
          <w:position w:val="20"/>
        </w:rPr>
        <w:t>手组</w:t>
      </w:r>
    </w:p>
    <w:p w14:paraId="0A87C844">
      <w:pPr>
        <w:pStyle w:val="2"/>
        <w:spacing w:before="1" w:line="222" w:lineRule="auto"/>
        <w:ind w:left="37"/>
      </w:pPr>
      <w:r>
        <w:rPr>
          <w:spacing w:val="-2"/>
        </w:rPr>
        <w:t>成，参赛选手不得跨校组队。</w:t>
      </w:r>
    </w:p>
    <w:p w14:paraId="04163C08">
      <w:pPr>
        <w:pStyle w:val="2"/>
        <w:spacing w:before="222" w:line="561" w:lineRule="exact"/>
        <w:ind w:right="13"/>
        <w:jc w:val="right"/>
      </w:pPr>
      <w:r>
        <w:rPr>
          <w:spacing w:val="2"/>
          <w:position w:val="21"/>
        </w:rPr>
        <w:t>每队可配 2</w:t>
      </w:r>
      <w:r>
        <w:rPr>
          <w:spacing w:val="-39"/>
          <w:position w:val="21"/>
        </w:rPr>
        <w:t xml:space="preserve"> </w:t>
      </w:r>
      <w:r>
        <w:rPr>
          <w:spacing w:val="2"/>
          <w:position w:val="21"/>
        </w:rPr>
        <w:t>名指导教师，指导教师须为本校专兼职教师，参赛</w:t>
      </w:r>
    </w:p>
    <w:p w14:paraId="5A26DD4B">
      <w:pPr>
        <w:pStyle w:val="2"/>
        <w:spacing w:before="2" w:line="222" w:lineRule="auto"/>
        <w:ind w:left="36"/>
      </w:pPr>
      <w:r>
        <w:rPr>
          <w:spacing w:val="-1"/>
        </w:rPr>
        <w:t>选手和指导教师报名获得确认后不得随意更换。</w:t>
      </w:r>
    </w:p>
    <w:p w14:paraId="0AFCDBCD">
      <w:pPr>
        <w:pStyle w:val="2"/>
        <w:spacing w:before="222" w:line="369" w:lineRule="auto"/>
        <w:ind w:left="32" w:right="13" w:firstLine="563"/>
      </w:pPr>
      <w:r>
        <w:rPr>
          <w:spacing w:val="6"/>
        </w:rPr>
        <w:t>参赛选手须为中等职业学校全日制在籍学生或五年制高职一至</w:t>
      </w:r>
      <w:r>
        <w:rPr>
          <w:spacing w:val="1"/>
        </w:rPr>
        <w:t xml:space="preserve"> </w:t>
      </w:r>
      <w:r>
        <w:rPr>
          <w:spacing w:val="-4"/>
        </w:rPr>
        <w:t>三年级（含三年级）全日制在籍学生。凡在往届全国职业院校技能大</w:t>
      </w:r>
      <w:r>
        <w:rPr>
          <w:spacing w:val="6"/>
        </w:rPr>
        <w:t xml:space="preserve"> </w:t>
      </w:r>
      <w:r>
        <w:rPr>
          <w:spacing w:val="-4"/>
        </w:rPr>
        <w:t>赛中获得本赛项一等奖的选手，不能再参赛。参赛选手的资格审查工</w:t>
      </w:r>
    </w:p>
    <w:p w14:paraId="67633480">
      <w:pPr>
        <w:pStyle w:val="2"/>
        <w:spacing w:before="1" w:line="220" w:lineRule="auto"/>
        <w:ind w:left="37"/>
      </w:pPr>
      <w:r>
        <w:rPr>
          <w:spacing w:val="-1"/>
        </w:rPr>
        <w:t>作按照《全国职业院校技能大赛制度汇编》要求执行。</w:t>
      </w:r>
    </w:p>
    <w:p w14:paraId="70EC4EA2">
      <w:pPr>
        <w:pStyle w:val="2"/>
        <w:spacing w:before="224" w:line="224" w:lineRule="auto"/>
        <w:ind w:left="592"/>
      </w:pPr>
      <w:r>
        <w:rPr>
          <w:spacing w:val="-2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（二）竞赛方式</w:t>
      </w:r>
    </w:p>
    <w:p w14:paraId="35848455">
      <w:pPr>
        <w:pStyle w:val="2"/>
        <w:spacing w:before="223" w:line="369" w:lineRule="auto"/>
        <w:ind w:left="29" w:right="13" w:firstLine="563"/>
        <w:jc w:val="both"/>
      </w:pPr>
      <w:r>
        <w:rPr>
          <w:spacing w:val="-5"/>
        </w:rPr>
        <w:t>本赛项设单一场次，竞赛时长为</w:t>
      </w:r>
      <w:r>
        <w:rPr>
          <w:spacing w:val="-41"/>
        </w:rPr>
        <w:t xml:space="preserve"> </w:t>
      </w:r>
      <w:r>
        <w:rPr>
          <w:spacing w:val="-5"/>
        </w:rPr>
        <w:t>1</w:t>
      </w:r>
      <w:r>
        <w:rPr>
          <w:spacing w:val="-50"/>
        </w:rPr>
        <w:t xml:space="preserve"> </w:t>
      </w:r>
      <w:r>
        <w:rPr>
          <w:spacing w:val="-5"/>
        </w:rPr>
        <w:t>天（</w:t>
      </w:r>
      <w:r>
        <w:rPr>
          <w:rFonts w:hint="eastAsia"/>
          <w:spacing w:val="-5"/>
          <w:lang w:val="en-US" w:eastAsia="zh-CN"/>
        </w:rPr>
        <w:t>3</w:t>
      </w:r>
      <w:r>
        <w:rPr>
          <w:spacing w:val="-53"/>
        </w:rPr>
        <w:t xml:space="preserve"> </w:t>
      </w:r>
      <w:r>
        <w:rPr>
          <w:spacing w:val="-5"/>
        </w:rPr>
        <w:t>小时</w:t>
      </w:r>
      <w:r>
        <w:rPr>
          <w:spacing w:val="10"/>
        </w:rPr>
        <w:t>），</w:t>
      </w:r>
      <w:r>
        <w:rPr>
          <w:spacing w:val="-5"/>
        </w:rPr>
        <w:t>具体的时间安</w:t>
      </w:r>
      <w:r>
        <w:t xml:space="preserve"> </w:t>
      </w:r>
      <w:r>
        <w:rPr>
          <w:spacing w:val="-4"/>
        </w:rPr>
        <w:t>排以正式发布的竞赛指南为准。参赛选手在规定时间内，使用现场提</w:t>
      </w:r>
      <w:r>
        <w:rPr>
          <w:spacing w:val="10"/>
        </w:rPr>
        <w:t xml:space="preserve"> </w:t>
      </w:r>
      <w:r>
        <w:rPr>
          <w:spacing w:val="-6"/>
        </w:rPr>
        <w:t>供的设备完成“移动应用界面设计</w:t>
      </w:r>
      <w:r>
        <w:rPr>
          <w:spacing w:val="-106"/>
        </w:rPr>
        <w:t xml:space="preserve"> </w:t>
      </w:r>
      <w:r>
        <w:rPr>
          <w:spacing w:val="-6"/>
        </w:rPr>
        <w:t>”、“移动应用前端开发</w:t>
      </w:r>
      <w:r>
        <w:rPr>
          <w:spacing w:val="-102"/>
        </w:rPr>
        <w:t xml:space="preserve"> </w:t>
      </w:r>
      <w:r>
        <w:rPr>
          <w:spacing w:val="-6"/>
        </w:rPr>
        <w:t>”、</w:t>
      </w:r>
      <w:r>
        <w:rPr>
          <w:spacing w:val="-7"/>
        </w:rPr>
        <w:t>“移</w:t>
      </w:r>
    </w:p>
    <w:p w14:paraId="1A739D3D">
      <w:pPr>
        <w:pStyle w:val="2"/>
        <w:spacing w:before="2" w:line="220" w:lineRule="auto"/>
        <w:ind w:left="36"/>
      </w:pPr>
      <w:r>
        <w:rPr>
          <w:spacing w:val="-2"/>
        </w:rPr>
        <w:t>动应用测试与交付</w:t>
      </w:r>
      <w:r>
        <w:rPr>
          <w:spacing w:val="-105"/>
        </w:rPr>
        <w:t xml:space="preserve"> </w:t>
      </w:r>
      <w:r>
        <w:rPr>
          <w:spacing w:val="-2"/>
        </w:rPr>
        <w:t>”三个模块任务，并按照要求</w:t>
      </w:r>
      <w:r>
        <w:rPr>
          <w:spacing w:val="-3"/>
        </w:rPr>
        <w:t>提交作品。</w:t>
      </w:r>
    </w:p>
    <w:p w14:paraId="508F02FA">
      <w:pPr>
        <w:pStyle w:val="2"/>
        <w:spacing w:before="224" w:line="223" w:lineRule="auto"/>
        <w:ind w:left="592"/>
      </w:pPr>
      <w:r>
        <w:rPr>
          <w:spacing w:val="-2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（三）竞赛评分</w:t>
      </w:r>
    </w:p>
    <w:p w14:paraId="694F6263">
      <w:pPr>
        <w:pStyle w:val="2"/>
        <w:spacing w:before="221" w:line="221" w:lineRule="auto"/>
        <w:ind w:right="13"/>
        <w:jc w:val="right"/>
      </w:pPr>
      <w:r>
        <w:rPr>
          <w:spacing w:val="6"/>
        </w:rPr>
        <w:t>本赛项由评分裁判对各参赛队伍提交的作品采取测量性结果评</w:t>
      </w:r>
    </w:p>
    <w:p w14:paraId="349104F8">
      <w:pPr>
        <w:spacing w:line="221" w:lineRule="auto"/>
        <w:sectPr>
          <w:footerReference r:id="rId7" w:type="default"/>
          <w:pgSz w:w="11906" w:h="16839"/>
          <w:pgMar w:top="1431" w:right="1785" w:bottom="1142" w:left="1785" w:header="0" w:footer="979" w:gutter="0"/>
          <w:cols w:space="720" w:num="1"/>
        </w:sectPr>
      </w:pPr>
    </w:p>
    <w:p w14:paraId="359977DA">
      <w:pPr>
        <w:pStyle w:val="2"/>
        <w:spacing w:before="216" w:line="369" w:lineRule="auto"/>
        <w:ind w:left="36" w:right="170"/>
        <w:jc w:val="both"/>
      </w:pPr>
      <w:r>
        <w:rPr>
          <w:spacing w:val="1"/>
        </w:rPr>
        <w:t>分和评价性结果评分相结合的方式进行评分。各参赛</w:t>
      </w:r>
      <w:r>
        <w:t xml:space="preserve">队总成绩 = 移 </w:t>
      </w:r>
      <w:r>
        <w:rPr>
          <w:spacing w:val="4"/>
        </w:rPr>
        <w:t>动应用界面设计模块得分 + 移动应用前端开发模块得分 +</w:t>
      </w:r>
      <w:r>
        <w:rPr>
          <w:spacing w:val="39"/>
        </w:rPr>
        <w:t xml:space="preserve"> </w:t>
      </w:r>
      <w:r>
        <w:rPr>
          <w:spacing w:val="4"/>
        </w:rPr>
        <w:t>移动应</w:t>
      </w:r>
    </w:p>
    <w:p w14:paraId="7796CF1A">
      <w:pPr>
        <w:pStyle w:val="2"/>
        <w:spacing w:before="1" w:line="222" w:lineRule="auto"/>
        <w:ind w:left="32"/>
      </w:pPr>
      <w:r>
        <w:rPr>
          <w:spacing w:val="-2"/>
        </w:rPr>
        <w:t>用测试与交付模块得分。</w:t>
      </w:r>
    </w:p>
    <w:p w14:paraId="243E6AEB">
      <w:pPr>
        <w:spacing w:before="191" w:line="226" w:lineRule="auto"/>
        <w:ind w:left="3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五、竞赛流程</w:t>
      </w:r>
    </w:p>
    <w:p w14:paraId="63DEFC28">
      <w:pPr>
        <w:pStyle w:val="2"/>
        <w:spacing w:before="211" w:line="224" w:lineRule="auto"/>
        <w:ind w:left="592"/>
      </w:pPr>
      <w:r>
        <w:rPr>
          <w:spacing w:val="-2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（一）竞赛流程图</w:t>
      </w:r>
    </w:p>
    <w:p w14:paraId="33B2DAA9">
      <w:pPr>
        <w:pStyle w:val="2"/>
        <w:spacing w:before="219" w:line="223" w:lineRule="auto"/>
        <w:ind w:left="586"/>
      </w:pPr>
      <w:r>
        <w:rPr>
          <w:spacing w:val="-4"/>
        </w:rPr>
        <w:t>202</w:t>
      </w:r>
      <w:r>
        <w:rPr>
          <w:rFonts w:hint="eastAsia"/>
          <w:spacing w:val="-4"/>
          <w:lang w:val="en-US" w:eastAsia="zh-CN"/>
        </w:rPr>
        <w:t>6</w:t>
      </w:r>
      <w:r>
        <w:rPr>
          <w:spacing w:val="-30"/>
        </w:rPr>
        <w:t xml:space="preserve"> </w:t>
      </w:r>
      <w:r>
        <w:rPr>
          <w:spacing w:val="-4"/>
        </w:rPr>
        <w:t>年移动应用与开发赛项的竞赛流程如图</w:t>
      </w:r>
      <w:r>
        <w:rPr>
          <w:spacing w:val="-42"/>
        </w:rPr>
        <w:t xml:space="preserve"> </w:t>
      </w:r>
      <w:r>
        <w:rPr>
          <w:spacing w:val="-4"/>
        </w:rPr>
        <w:t>1</w:t>
      </w:r>
      <w:r>
        <w:rPr>
          <w:spacing w:val="-50"/>
        </w:rPr>
        <w:t xml:space="preserve"> </w:t>
      </w:r>
      <w:r>
        <w:rPr>
          <w:spacing w:val="-4"/>
        </w:rPr>
        <w:t>所示。</w:t>
      </w:r>
    </w:p>
    <w:p w14:paraId="708F9ABC">
      <w:pPr>
        <w:spacing w:before="15" w:line="5697" w:lineRule="exact"/>
        <w:ind w:firstLine="14"/>
      </w:pPr>
      <w:r>
        <w:rPr>
          <w:position w:val="-113"/>
        </w:rPr>
        <w:drawing>
          <wp:inline distT="0" distB="0" distL="0" distR="0">
            <wp:extent cx="5382260" cy="361759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382767" cy="3617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2ACE1">
      <w:pPr>
        <w:pStyle w:val="2"/>
        <w:spacing w:before="195" w:line="224" w:lineRule="auto"/>
        <w:ind w:left="3458"/>
        <w:rPr>
          <w:sz w:val="22"/>
          <w:szCs w:val="22"/>
        </w:rPr>
      </w:pPr>
      <w:r>
        <w:rPr>
          <w:color w:val="0D0D0D"/>
          <w:spacing w:val="-11"/>
          <w:sz w:val="22"/>
          <w:szCs w:val="22"/>
          <w14:textOutline w14:w="4013" w14:cap="sq" w14:cmpd="sng">
            <w14:solidFill>
              <w14:srgbClr w14:val="0D0D0D"/>
            </w14:solidFill>
            <w14:prstDash w14:val="solid"/>
            <w14:bevel/>
          </w14:textOutline>
        </w:rPr>
        <w:t>图</w:t>
      </w:r>
      <w:r>
        <w:rPr>
          <w:color w:val="0D0D0D"/>
          <w:spacing w:val="-36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D0D0D"/>
          <w:spacing w:val="-11"/>
          <w:sz w:val="22"/>
          <w:szCs w:val="22"/>
        </w:rPr>
        <w:t>1</w:t>
      </w:r>
      <w:r>
        <w:rPr>
          <w:rFonts w:ascii="Times New Roman" w:hAnsi="Times New Roman" w:eastAsia="Times New Roman" w:cs="Times New Roman"/>
          <w:b/>
          <w:bCs/>
          <w:color w:val="0D0D0D"/>
          <w:spacing w:val="3"/>
          <w:sz w:val="22"/>
          <w:szCs w:val="22"/>
        </w:rPr>
        <w:t xml:space="preserve">    </w:t>
      </w:r>
      <w:r>
        <w:rPr>
          <w:color w:val="0D0D0D"/>
          <w:spacing w:val="-11"/>
          <w:sz w:val="22"/>
          <w:szCs w:val="22"/>
          <w14:textOutline w14:w="4013" w14:cap="sq" w14:cmpd="sng">
            <w14:solidFill>
              <w14:srgbClr w14:val="0D0D0D"/>
            </w14:solidFill>
            <w14:prstDash w14:val="solid"/>
            <w14:bevel/>
          </w14:textOutline>
        </w:rPr>
        <w:t>赛事流程</w:t>
      </w:r>
    </w:p>
    <w:p w14:paraId="1DBEF8A3">
      <w:pPr>
        <w:rPr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br w:type="page"/>
      </w:r>
    </w:p>
    <w:p w14:paraId="3E5789ED">
      <w:pPr>
        <w:pStyle w:val="2"/>
        <w:spacing w:before="169" w:line="229" w:lineRule="auto"/>
        <w:ind w:left="39"/>
        <w:outlineLvl w:val="2"/>
        <w:rPr>
          <w:sz w:val="31"/>
          <w:szCs w:val="31"/>
        </w:rPr>
      </w:pPr>
      <w:r>
        <w:rPr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（二）竞赛时间表</w:t>
      </w:r>
    </w:p>
    <w:p w14:paraId="3D17CB37">
      <w:pPr>
        <w:spacing w:line="406" w:lineRule="auto"/>
        <w:rPr>
          <w:rFonts w:ascii="Arial"/>
          <w:sz w:val="21"/>
        </w:rPr>
      </w:pPr>
    </w:p>
    <w:p w14:paraId="00993771">
      <w:pPr>
        <w:spacing w:before="73" w:line="219" w:lineRule="auto"/>
        <w:ind w:left="111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color w:val="0D0D0D"/>
          <w:sz w:val="22"/>
          <w:szCs w:val="22"/>
          <w14:textOutline w14:w="4013" w14:cap="sq" w14:cmpd="sng">
            <w14:solidFill>
              <w14:srgbClr w14:val="0D0D0D"/>
            </w14:solidFill>
            <w14:prstDash w14:val="solid"/>
            <w14:bevel/>
          </w14:textOutline>
        </w:rPr>
        <w:t>表</w:t>
      </w:r>
      <w:r>
        <w:rPr>
          <w:rFonts w:ascii="宋体" w:hAnsi="宋体" w:eastAsia="宋体" w:cs="宋体"/>
          <w:color w:val="0D0D0D"/>
          <w:spacing w:val="-43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D0D0D"/>
          <w:sz w:val="22"/>
          <w:szCs w:val="22"/>
        </w:rPr>
        <w:t xml:space="preserve">1    </w:t>
      </w:r>
      <w:r>
        <w:rPr>
          <w:rFonts w:ascii="宋体" w:hAnsi="宋体" w:eastAsia="宋体" w:cs="宋体"/>
          <w:color w:val="0D0D0D"/>
          <w:sz w:val="22"/>
          <w:szCs w:val="22"/>
          <w14:textOutline w14:w="4013" w14:cap="sq" w14:cmpd="sng">
            <w14:solidFill>
              <w14:srgbClr w14:val="0D0D0D"/>
            </w14:solidFill>
            <w14:prstDash w14:val="solid"/>
            <w14:bevel/>
          </w14:textOutline>
        </w:rPr>
        <w:t>竞赛时间表（具体时间安排以正式发布的竞赛指南为准）</w:t>
      </w:r>
    </w:p>
    <w:p w14:paraId="5CDC318C">
      <w:pPr>
        <w:spacing w:line="125" w:lineRule="exact"/>
      </w:pPr>
    </w:p>
    <w:tbl>
      <w:tblPr>
        <w:tblStyle w:val="5"/>
        <w:tblW w:w="7699" w:type="dxa"/>
        <w:tblInd w:w="3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2124"/>
        <w:gridCol w:w="4883"/>
      </w:tblGrid>
      <w:tr w14:paraId="5EB8E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92" w:type="dxa"/>
            <w:textDirection w:val="tbRlV"/>
            <w:vAlign w:val="top"/>
          </w:tcPr>
          <w:p w14:paraId="5B581BB2">
            <w:pPr>
              <w:pStyle w:val="6"/>
              <w:spacing w:before="224" w:line="202" w:lineRule="auto"/>
              <w:ind w:left="41"/>
            </w:pPr>
            <w:r>
              <w:rPr>
                <w:spacing w:val="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  <w:r>
              <w:rPr>
                <w:spacing w:val="-54"/>
              </w:rPr>
              <w:t xml:space="preserve"> </w:t>
            </w:r>
            <w:r>
              <w:rPr>
                <w:spacing w:val="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期</w:t>
            </w:r>
          </w:p>
        </w:tc>
        <w:tc>
          <w:tcPr>
            <w:tcW w:w="2124" w:type="dxa"/>
            <w:vAlign w:val="top"/>
          </w:tcPr>
          <w:p w14:paraId="5BD2C7B7">
            <w:pPr>
              <w:pStyle w:val="6"/>
              <w:spacing w:before="197" w:line="223" w:lineRule="auto"/>
              <w:ind w:left="850"/>
            </w:pPr>
            <w:r>
              <w:rPr>
                <w:spacing w:val="-17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时间</w:t>
            </w:r>
          </w:p>
        </w:tc>
        <w:tc>
          <w:tcPr>
            <w:tcW w:w="4883" w:type="dxa"/>
            <w:vAlign w:val="top"/>
          </w:tcPr>
          <w:p w14:paraId="13DCEBBE">
            <w:pPr>
              <w:pStyle w:val="6"/>
              <w:spacing w:before="197" w:line="223" w:lineRule="auto"/>
              <w:ind w:left="2213"/>
            </w:pPr>
            <w:r>
              <w:rPr>
                <w:spacing w:val="-8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事项</w:t>
            </w:r>
          </w:p>
        </w:tc>
      </w:tr>
      <w:tr w14:paraId="0A921B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92" w:type="dxa"/>
            <w:vMerge w:val="restart"/>
            <w:vAlign w:val="top"/>
          </w:tcPr>
          <w:p w14:paraId="2A112BE5">
            <w:pPr>
              <w:pStyle w:val="6"/>
              <w:spacing w:before="83"/>
              <w:ind w:left="114"/>
              <w:jc w:val="center"/>
              <w:rPr>
                <w:color w:val="0D0D0D"/>
                <w:spacing w:val="-1"/>
              </w:rPr>
            </w:pPr>
            <w:r>
              <w:rPr>
                <w:color w:val="0D0D0D"/>
                <w:spacing w:val="-1"/>
                <w:sz w:val="28"/>
                <w:szCs w:val="28"/>
              </w:rPr>
              <w:t>竞</w:t>
            </w:r>
            <w:r>
              <w:rPr>
                <w:spacing w:val="38"/>
                <w:sz w:val="28"/>
                <w:szCs w:val="28"/>
              </w:rPr>
              <w:t>赛日</w:t>
            </w:r>
          </w:p>
        </w:tc>
        <w:tc>
          <w:tcPr>
            <w:tcW w:w="2124" w:type="dxa"/>
            <w:vAlign w:val="top"/>
          </w:tcPr>
          <w:p w14:paraId="63477C7E">
            <w:pPr>
              <w:pStyle w:val="6"/>
              <w:spacing w:before="83"/>
              <w:jc w:val="center"/>
              <w:rPr>
                <w:color w:val="0D0D0D"/>
                <w:spacing w:val="-1"/>
              </w:rPr>
            </w:pPr>
            <w:r>
              <w:rPr>
                <w:rFonts w:hint="eastAsia"/>
                <w:color w:val="0D0D0D"/>
                <w:spacing w:val="-1"/>
                <w:lang w:val="en-US" w:eastAsia="zh-CN"/>
              </w:rPr>
              <w:t>7:40-8</w:t>
            </w:r>
            <w:bookmarkStart w:id="0" w:name="_GoBack"/>
            <w:r>
              <w:rPr>
                <w:rFonts w:hint="eastAsia"/>
                <w:color w:val="0D0D0D"/>
                <w:spacing w:val="-1"/>
                <w:lang w:val="en-US" w:eastAsia="zh-CN"/>
              </w:rPr>
              <w:t>：00</w:t>
            </w:r>
            <w:bookmarkEnd w:id="0"/>
          </w:p>
        </w:tc>
        <w:tc>
          <w:tcPr>
            <w:tcW w:w="4883" w:type="dxa"/>
            <w:vAlign w:val="top"/>
          </w:tcPr>
          <w:p w14:paraId="65390347">
            <w:pPr>
              <w:pStyle w:val="6"/>
              <w:spacing w:before="83" w:line="220" w:lineRule="auto"/>
              <w:ind w:left="122"/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开幕式和预备会</w:t>
            </w:r>
          </w:p>
        </w:tc>
      </w:tr>
      <w:tr w14:paraId="69E5B1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92" w:type="dxa"/>
            <w:vMerge w:val="continue"/>
            <w:vAlign w:val="top"/>
          </w:tcPr>
          <w:p w14:paraId="553A9F7F">
            <w:pPr>
              <w:pStyle w:val="6"/>
              <w:spacing w:before="83"/>
              <w:ind w:left="114"/>
              <w:jc w:val="center"/>
              <w:rPr>
                <w:color w:val="0D0D0D"/>
                <w:spacing w:val="-1"/>
              </w:rPr>
            </w:pPr>
          </w:p>
        </w:tc>
        <w:tc>
          <w:tcPr>
            <w:tcW w:w="2124" w:type="dxa"/>
            <w:vAlign w:val="top"/>
          </w:tcPr>
          <w:p w14:paraId="6188B5EE">
            <w:pPr>
              <w:pStyle w:val="6"/>
              <w:spacing w:before="83"/>
              <w:jc w:val="center"/>
              <w:rPr>
                <w:rFonts w:hint="default"/>
                <w:color w:val="0D0D0D"/>
                <w:spacing w:val="-1"/>
                <w:lang w:val="en-US" w:eastAsia="zh-CN"/>
              </w:rPr>
            </w:pPr>
            <w:r>
              <w:rPr>
                <w:rFonts w:hint="eastAsia"/>
                <w:color w:val="0D0D0D"/>
                <w:spacing w:val="-1"/>
                <w:lang w:val="en-US" w:eastAsia="zh-CN"/>
              </w:rPr>
              <w:t>8:10—8:20</w:t>
            </w:r>
          </w:p>
        </w:tc>
        <w:tc>
          <w:tcPr>
            <w:tcW w:w="4883" w:type="dxa"/>
            <w:vAlign w:val="top"/>
          </w:tcPr>
          <w:p w14:paraId="217D292D">
            <w:pPr>
              <w:pStyle w:val="6"/>
              <w:spacing w:before="83" w:line="220" w:lineRule="auto"/>
              <w:ind w:left="122"/>
              <w:rPr>
                <w:rFonts w:hint="eastAsia" w:eastAsia="仿宋"/>
                <w:color w:val="0D0D0D"/>
                <w:spacing w:val="-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抽取考试号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</w:rPr>
              <w:t>工作人员登记、录入考生考号</w:t>
            </w:r>
          </w:p>
        </w:tc>
      </w:tr>
      <w:tr w14:paraId="08C95A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92" w:type="dxa"/>
            <w:vMerge w:val="continue"/>
            <w:vAlign w:val="top"/>
          </w:tcPr>
          <w:p w14:paraId="0FF4A9A3">
            <w:pPr>
              <w:pStyle w:val="6"/>
              <w:spacing w:before="83"/>
              <w:ind w:left="114"/>
              <w:jc w:val="center"/>
              <w:rPr>
                <w:color w:val="0D0D0D"/>
                <w:spacing w:val="-1"/>
              </w:rPr>
            </w:pPr>
          </w:p>
        </w:tc>
        <w:tc>
          <w:tcPr>
            <w:tcW w:w="2124" w:type="dxa"/>
            <w:vAlign w:val="top"/>
          </w:tcPr>
          <w:p w14:paraId="3FDBA53B">
            <w:pPr>
              <w:pStyle w:val="6"/>
              <w:spacing w:before="83"/>
              <w:jc w:val="center"/>
              <w:rPr>
                <w:rFonts w:hint="eastAsia"/>
                <w:color w:val="0D0D0D"/>
                <w:spacing w:val="-1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/>
                <w:color w:val="auto"/>
                <w:sz w:val="24"/>
                <w:szCs w:val="24"/>
              </w:rPr>
              <w:t>：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4"/>
                <w:szCs w:val="24"/>
              </w:rPr>
              <w:t>0—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8：30</w:t>
            </w:r>
          </w:p>
        </w:tc>
        <w:tc>
          <w:tcPr>
            <w:tcW w:w="4883" w:type="dxa"/>
            <w:vAlign w:val="top"/>
          </w:tcPr>
          <w:p w14:paraId="43A43B3D">
            <w:pPr>
              <w:pStyle w:val="6"/>
              <w:spacing w:before="83" w:line="220" w:lineRule="auto"/>
              <w:ind w:left="122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color w:val="0D0D0D"/>
                <w:spacing w:val="4"/>
              </w:rPr>
              <w:t>参赛队进入比赛赛位，进行赛前设备、材料</w:t>
            </w:r>
            <w:r>
              <w:rPr>
                <w:color w:val="0D0D0D"/>
                <w:spacing w:val="8"/>
              </w:rPr>
              <w:t xml:space="preserve"> </w:t>
            </w:r>
            <w:r>
              <w:rPr>
                <w:color w:val="0D0D0D"/>
                <w:spacing w:val="-9"/>
              </w:rPr>
              <w:t>检查</w:t>
            </w:r>
          </w:p>
        </w:tc>
      </w:tr>
      <w:tr w14:paraId="04C29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92" w:type="dxa"/>
            <w:vMerge w:val="continue"/>
            <w:vAlign w:val="top"/>
          </w:tcPr>
          <w:p w14:paraId="27F08B4B">
            <w:pPr>
              <w:pStyle w:val="6"/>
              <w:spacing w:before="83"/>
              <w:ind w:left="114"/>
              <w:jc w:val="center"/>
              <w:rPr>
                <w:color w:val="0D0D0D"/>
                <w:spacing w:val="-1"/>
              </w:rPr>
            </w:pPr>
          </w:p>
        </w:tc>
        <w:tc>
          <w:tcPr>
            <w:tcW w:w="2124" w:type="dxa"/>
            <w:vAlign w:val="top"/>
          </w:tcPr>
          <w:p w14:paraId="09C54109">
            <w:pPr>
              <w:pStyle w:val="6"/>
              <w:spacing w:before="83"/>
              <w:ind w:left="114"/>
              <w:jc w:val="center"/>
              <w:rPr>
                <w:rFonts w:hint="eastAsia"/>
                <w:color w:val="0D0D0D"/>
                <w:spacing w:val="-1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/>
                <w:color w:val="auto"/>
                <w:sz w:val="24"/>
                <w:szCs w:val="24"/>
              </w:rPr>
              <w:t>：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4"/>
                <w:szCs w:val="24"/>
              </w:rPr>
              <w:t>0—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11：30</w:t>
            </w:r>
          </w:p>
        </w:tc>
        <w:tc>
          <w:tcPr>
            <w:tcW w:w="4883" w:type="dxa"/>
            <w:vAlign w:val="top"/>
          </w:tcPr>
          <w:p w14:paraId="109E6855">
            <w:pPr>
              <w:pStyle w:val="6"/>
              <w:spacing w:before="83" w:line="220" w:lineRule="auto"/>
              <w:ind w:left="122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正式比赛</w:t>
            </w:r>
          </w:p>
        </w:tc>
      </w:tr>
      <w:tr w14:paraId="4FA45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92" w:type="dxa"/>
            <w:vMerge w:val="continue"/>
            <w:vAlign w:val="top"/>
          </w:tcPr>
          <w:p w14:paraId="1F3E807F">
            <w:pPr>
              <w:pStyle w:val="6"/>
              <w:spacing w:before="83"/>
              <w:ind w:left="114"/>
              <w:jc w:val="center"/>
              <w:rPr>
                <w:color w:val="0D0D0D"/>
                <w:spacing w:val="-1"/>
              </w:rPr>
            </w:pPr>
          </w:p>
        </w:tc>
        <w:tc>
          <w:tcPr>
            <w:tcW w:w="2124" w:type="dxa"/>
            <w:vAlign w:val="top"/>
          </w:tcPr>
          <w:p w14:paraId="2A9FD3BD">
            <w:pPr>
              <w:pStyle w:val="6"/>
              <w:spacing w:before="83"/>
              <w:ind w:left="114"/>
              <w:jc w:val="center"/>
              <w:rPr>
                <w:rFonts w:hint="eastAsia"/>
                <w:color w:val="0D0D0D"/>
                <w:spacing w:val="-1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</w:rPr>
              <w:t>：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4"/>
                <w:szCs w:val="24"/>
              </w:rPr>
              <w:t>0-1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4"/>
                <w:szCs w:val="24"/>
              </w:rPr>
              <w:t>：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4"/>
                <w:szCs w:val="24"/>
              </w:rPr>
              <w:t>0</w:t>
            </w:r>
          </w:p>
        </w:tc>
        <w:tc>
          <w:tcPr>
            <w:tcW w:w="4883" w:type="dxa"/>
            <w:vAlign w:val="top"/>
          </w:tcPr>
          <w:p w14:paraId="3A1EA48D">
            <w:pPr>
              <w:pStyle w:val="6"/>
              <w:spacing w:before="83" w:line="220" w:lineRule="auto"/>
              <w:ind w:left="122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阅卷评分</w:t>
            </w:r>
          </w:p>
        </w:tc>
      </w:tr>
    </w:tbl>
    <w:p w14:paraId="26666112">
      <w:pPr>
        <w:spacing w:line="91" w:lineRule="auto"/>
        <w:rPr>
          <w:rFonts w:ascii="Arial"/>
          <w:sz w:val="2"/>
        </w:rPr>
      </w:pPr>
    </w:p>
    <w:p w14:paraId="522FCB2A">
      <w:pPr>
        <w:spacing w:before="208" w:line="222" w:lineRule="auto"/>
        <w:ind w:left="59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六、竞赛规则</w:t>
      </w:r>
    </w:p>
    <w:p w14:paraId="123B1489">
      <w:pPr>
        <w:pStyle w:val="2"/>
        <w:spacing w:before="226" w:line="369" w:lineRule="auto"/>
        <w:ind w:left="32" w:right="93" w:firstLine="571"/>
      </w:pPr>
      <w:r>
        <w:rPr>
          <w:spacing w:val="-4"/>
        </w:rPr>
        <w:t>1. 移动应用与开发赛项为团体赛。每支参赛队由 2 名参赛选手</w:t>
      </w:r>
      <w:r>
        <w:t xml:space="preserve"> </w:t>
      </w:r>
      <w:r>
        <w:rPr>
          <w:spacing w:val="-5"/>
        </w:rPr>
        <w:t>组成，参赛选手不得跨校组队。每队可配</w:t>
      </w:r>
      <w:r>
        <w:rPr>
          <w:spacing w:val="-51"/>
        </w:rPr>
        <w:t xml:space="preserve"> </w:t>
      </w:r>
      <w:r>
        <w:rPr>
          <w:spacing w:val="-5"/>
        </w:rPr>
        <w:t>2</w:t>
      </w:r>
      <w:r>
        <w:rPr>
          <w:spacing w:val="-52"/>
        </w:rPr>
        <w:t xml:space="preserve"> </w:t>
      </w:r>
      <w:r>
        <w:rPr>
          <w:spacing w:val="-5"/>
        </w:rPr>
        <w:t>名指导教师，指导教师须</w:t>
      </w:r>
      <w:r>
        <w:t xml:space="preserve"> </w:t>
      </w:r>
      <w:r>
        <w:rPr>
          <w:spacing w:val="-4"/>
        </w:rPr>
        <w:t>为本校专兼职教师，参赛选手和指导教师报名获得确认后不得随意更</w:t>
      </w:r>
      <w:r>
        <w:rPr>
          <w:spacing w:val="6"/>
        </w:rPr>
        <w:t xml:space="preserve"> </w:t>
      </w:r>
      <w:r>
        <w:rPr>
          <w:spacing w:val="-4"/>
        </w:rPr>
        <w:t>换。参赛选手须为中等职业学校全日制在籍学生或五年制高职一至三</w:t>
      </w:r>
      <w:r>
        <w:rPr>
          <w:spacing w:val="6"/>
        </w:rPr>
        <w:t xml:space="preserve"> </w:t>
      </w:r>
      <w:r>
        <w:t>年级（含三年级）全日制在籍学生。参赛选手年龄</w:t>
      </w:r>
      <w:r>
        <w:rPr>
          <w:spacing w:val="-1"/>
        </w:rPr>
        <w:t>须不超过</w:t>
      </w:r>
      <w:r>
        <w:rPr>
          <w:spacing w:val="-57"/>
        </w:rPr>
        <w:t xml:space="preserve"> </w:t>
      </w:r>
      <w:r>
        <w:rPr>
          <w:spacing w:val="-1"/>
        </w:rPr>
        <w:t>21</w:t>
      </w:r>
      <w:r>
        <w:rPr>
          <w:spacing w:val="-48"/>
        </w:rPr>
        <w:t xml:space="preserve"> </w:t>
      </w:r>
      <w:r>
        <w:rPr>
          <w:spacing w:val="-1"/>
        </w:rPr>
        <w:t>周岁</w:t>
      </w:r>
      <w:r>
        <w:t xml:space="preserve"> </w:t>
      </w:r>
      <w:r>
        <w:rPr>
          <w:spacing w:val="-5"/>
        </w:rPr>
        <w:t>（年龄计算的截止时间以</w:t>
      </w:r>
      <w:r>
        <w:rPr>
          <w:spacing w:val="-58"/>
        </w:rPr>
        <w:t xml:space="preserve"> </w:t>
      </w:r>
      <w:r>
        <w:rPr>
          <w:spacing w:val="-5"/>
        </w:rPr>
        <w:t>202</w:t>
      </w:r>
      <w:r>
        <w:rPr>
          <w:rFonts w:hint="eastAsia"/>
          <w:spacing w:val="-5"/>
          <w:lang w:val="en-US" w:eastAsia="zh-CN"/>
        </w:rPr>
        <w:t>5</w:t>
      </w:r>
      <w:r>
        <w:rPr>
          <w:spacing w:val="-45"/>
        </w:rPr>
        <w:t xml:space="preserve"> </w:t>
      </w:r>
      <w:r>
        <w:rPr>
          <w:spacing w:val="-5"/>
        </w:rPr>
        <w:t>年</w:t>
      </w:r>
      <w:r>
        <w:rPr>
          <w:spacing w:val="-52"/>
        </w:rPr>
        <w:t xml:space="preserve"> </w:t>
      </w:r>
      <w:r>
        <w:rPr>
          <w:spacing w:val="-5"/>
        </w:rPr>
        <w:t>5</w:t>
      </w:r>
      <w:r>
        <w:rPr>
          <w:spacing w:val="-38"/>
        </w:rPr>
        <w:t xml:space="preserve"> </w:t>
      </w:r>
      <w:r>
        <w:rPr>
          <w:spacing w:val="-5"/>
        </w:rPr>
        <w:t>月</w:t>
      </w:r>
      <w:r>
        <w:rPr>
          <w:spacing w:val="-38"/>
        </w:rPr>
        <w:t xml:space="preserve"> </w:t>
      </w:r>
      <w:r>
        <w:rPr>
          <w:spacing w:val="-5"/>
        </w:rPr>
        <w:t>1 日为准）。凡在往届</w:t>
      </w:r>
      <w:r>
        <w:rPr>
          <w:spacing w:val="-6"/>
        </w:rPr>
        <w:t>全国职</w:t>
      </w:r>
      <w:r>
        <w:t xml:space="preserve"> </w:t>
      </w:r>
      <w:r>
        <w:rPr>
          <w:spacing w:val="-4"/>
        </w:rPr>
        <w:t>业院校技能大赛中获得本赛项一等奖的选手，不能再参赛。参赛选手</w:t>
      </w:r>
    </w:p>
    <w:p w14:paraId="2CCF9AEB">
      <w:pPr>
        <w:pStyle w:val="2"/>
        <w:spacing w:before="1" w:line="220" w:lineRule="auto"/>
        <w:jc w:val="right"/>
      </w:pPr>
      <w:r>
        <w:rPr>
          <w:spacing w:val="-3"/>
        </w:rPr>
        <w:t>的资格审查工作按照《全国职业院校技能大赛制度汇编》要求执行。</w:t>
      </w:r>
    </w:p>
    <w:p w14:paraId="1F35A177">
      <w:pPr>
        <w:pStyle w:val="2"/>
        <w:spacing w:before="224" w:line="559" w:lineRule="exact"/>
        <w:ind w:left="586"/>
      </w:pPr>
      <w:r>
        <w:rPr>
          <w:spacing w:val="-1"/>
          <w:position w:val="20"/>
        </w:rPr>
        <w:t>2.</w:t>
      </w:r>
      <w:r>
        <w:rPr>
          <w:spacing w:val="61"/>
          <w:position w:val="20"/>
        </w:rPr>
        <w:t xml:space="preserve"> </w:t>
      </w:r>
      <w:r>
        <w:rPr>
          <w:spacing w:val="-1"/>
          <w:position w:val="20"/>
        </w:rPr>
        <w:t>比赛赛位通过抽签决定，比赛期间参赛选手原则上不得离开</w:t>
      </w:r>
    </w:p>
    <w:p w14:paraId="10B49640">
      <w:pPr>
        <w:pStyle w:val="2"/>
        <w:spacing w:before="1" w:line="223" w:lineRule="auto"/>
        <w:ind w:left="64"/>
      </w:pPr>
      <w:r>
        <w:rPr>
          <w:spacing w:val="-10"/>
        </w:rPr>
        <w:t>比赛场地。</w:t>
      </w:r>
    </w:p>
    <w:p w14:paraId="39CD5154">
      <w:pPr>
        <w:pStyle w:val="2"/>
        <w:spacing w:before="221" w:line="369" w:lineRule="auto"/>
        <w:ind w:left="32" w:right="93" w:firstLine="556"/>
      </w:pPr>
      <w:r>
        <w:rPr>
          <w:spacing w:val="-1"/>
        </w:rPr>
        <w:t>3.</w:t>
      </w:r>
      <w:r>
        <w:rPr>
          <w:spacing w:val="58"/>
        </w:rPr>
        <w:t xml:space="preserve"> </w:t>
      </w:r>
      <w:r>
        <w:rPr>
          <w:spacing w:val="-1"/>
        </w:rPr>
        <w:t>比赛所需的硬件、软件和辅助工具统一提供，参赛队不得使</w:t>
      </w:r>
      <w:r>
        <w:t xml:space="preserve"> </w:t>
      </w:r>
      <w:r>
        <w:rPr>
          <w:spacing w:val="-2"/>
        </w:rPr>
        <w:t>用自带的任何具有存储和通信功能的设备，如</w:t>
      </w:r>
      <w:r>
        <w:rPr>
          <w:spacing w:val="-3"/>
        </w:rPr>
        <w:t>硬盘、光盘、U</w:t>
      </w:r>
      <w:r>
        <w:rPr>
          <w:spacing w:val="-43"/>
        </w:rPr>
        <w:t xml:space="preserve"> </w:t>
      </w:r>
      <w:r>
        <w:rPr>
          <w:spacing w:val="-3"/>
        </w:rPr>
        <w:t>盘、手</w:t>
      </w:r>
    </w:p>
    <w:p w14:paraId="7F9A065C">
      <w:pPr>
        <w:pStyle w:val="2"/>
        <w:spacing w:line="222" w:lineRule="auto"/>
        <w:ind w:left="32"/>
      </w:pPr>
      <w:r>
        <w:rPr>
          <w:spacing w:val="-3"/>
        </w:rPr>
        <w:t>机、随身听、智能手表、PDA</w:t>
      </w:r>
      <w:r>
        <w:rPr>
          <w:spacing w:val="-42"/>
        </w:rPr>
        <w:t xml:space="preserve"> </w:t>
      </w:r>
      <w:r>
        <w:rPr>
          <w:spacing w:val="-3"/>
        </w:rPr>
        <w:t>等。</w:t>
      </w:r>
    </w:p>
    <w:p w14:paraId="380563FA">
      <w:pPr>
        <w:pStyle w:val="2"/>
        <w:spacing w:before="224" w:line="559" w:lineRule="exact"/>
        <w:ind w:right="44"/>
        <w:jc w:val="right"/>
      </w:pPr>
      <w:r>
        <w:rPr>
          <w:spacing w:val="-4"/>
          <w:position w:val="21"/>
        </w:rPr>
        <w:t>4. 参赛选手在赛前</w:t>
      </w:r>
      <w:r>
        <w:rPr>
          <w:spacing w:val="-23"/>
          <w:position w:val="21"/>
        </w:rPr>
        <w:t xml:space="preserve"> </w:t>
      </w:r>
      <w:r>
        <w:rPr>
          <w:spacing w:val="-4"/>
          <w:position w:val="21"/>
        </w:rPr>
        <w:t>10</w:t>
      </w:r>
      <w:r>
        <w:rPr>
          <w:spacing w:val="-50"/>
          <w:position w:val="21"/>
        </w:rPr>
        <w:t xml:space="preserve"> </w:t>
      </w:r>
      <w:r>
        <w:rPr>
          <w:spacing w:val="-4"/>
          <w:position w:val="21"/>
        </w:rPr>
        <w:t>分钟领取比赛任务，并进入比赛赛位。比</w:t>
      </w:r>
    </w:p>
    <w:p w14:paraId="1DB5BE45">
      <w:pPr>
        <w:pStyle w:val="2"/>
        <w:spacing w:before="2" w:line="220" w:lineRule="auto"/>
        <w:ind w:left="32"/>
      </w:pPr>
      <w:r>
        <w:rPr>
          <w:spacing w:val="-2"/>
        </w:rPr>
        <w:t>赛正式开始方可进行相关操作。</w:t>
      </w:r>
    </w:p>
    <w:p w14:paraId="636C0F57">
      <w:pPr>
        <w:pStyle w:val="2"/>
        <w:spacing w:before="225" w:line="369" w:lineRule="auto"/>
        <w:ind w:left="37" w:firstLine="551"/>
      </w:pPr>
      <w:r>
        <w:rPr>
          <w:spacing w:val="-1"/>
        </w:rPr>
        <w:t>5.</w:t>
      </w:r>
      <w:r>
        <w:rPr>
          <w:spacing w:val="58"/>
        </w:rPr>
        <w:t xml:space="preserve"> </w:t>
      </w:r>
      <w:r>
        <w:rPr>
          <w:spacing w:val="-1"/>
        </w:rPr>
        <w:t>比赛过程中，参赛选手组内进行协作交流时，不得影响其他</w:t>
      </w:r>
      <w:r>
        <w:t xml:space="preserve"> </w:t>
      </w:r>
      <w:r>
        <w:rPr>
          <w:spacing w:val="-4"/>
        </w:rPr>
        <w:t>参赛成员，参赛选手如有疑问，应举手示意，现场裁判应按要求及时</w:t>
      </w:r>
      <w:r>
        <w:rPr>
          <w:spacing w:val="2"/>
        </w:rPr>
        <w:t xml:space="preserve"> </w:t>
      </w:r>
      <w:r>
        <w:rPr>
          <w:spacing w:val="-10"/>
        </w:rPr>
        <w:t>予以答疑。如遇设备或软件等故障，参赛选手应举手示意，现场裁判、</w:t>
      </w:r>
    </w:p>
    <w:p w14:paraId="389B827E">
      <w:pPr>
        <w:pStyle w:val="2"/>
        <w:spacing w:before="225" w:line="369" w:lineRule="auto"/>
        <w:ind w:left="37" w:firstLine="551"/>
        <w:rPr>
          <w:spacing w:val="-1"/>
        </w:rPr>
      </w:pPr>
      <w:r>
        <w:rPr>
          <w:spacing w:val="-1"/>
        </w:rPr>
        <w:t>技术人员等应及时予以解决。确因计算机软件或硬件故障，致使操作无法继续，经赛场裁判长确认，予以启用备用设备。</w:t>
      </w:r>
    </w:p>
    <w:p w14:paraId="2D99689A">
      <w:pPr>
        <w:pStyle w:val="2"/>
        <w:spacing w:before="225" w:line="369" w:lineRule="auto"/>
        <w:ind w:left="37" w:firstLine="551"/>
        <w:rPr>
          <w:spacing w:val="-1"/>
        </w:rPr>
      </w:pPr>
      <w:r>
        <w:rPr>
          <w:spacing w:val="-1"/>
        </w:rPr>
        <w:t>6. 比赛时间结束，选手应全体起立，结束操作。经工作人员查</w:t>
      </w:r>
    </w:p>
    <w:p w14:paraId="1893EA84">
      <w:pPr>
        <w:pStyle w:val="2"/>
        <w:spacing w:before="225" w:line="369" w:lineRule="auto"/>
        <w:ind w:left="37" w:firstLine="551"/>
        <w:rPr>
          <w:spacing w:val="-1"/>
        </w:rPr>
      </w:pPr>
      <w:r>
        <w:rPr>
          <w:spacing w:val="-1"/>
        </w:rPr>
        <w:t>收清点所有文档后方可离开赛场，离开赛场时不得带走任何资料。</w:t>
      </w:r>
    </w:p>
    <w:p w14:paraId="7E67F91C">
      <w:pPr>
        <w:pStyle w:val="2"/>
        <w:spacing w:before="225" w:line="369" w:lineRule="auto"/>
        <w:ind w:left="37" w:firstLine="551"/>
        <w:rPr>
          <w:spacing w:val="-1"/>
        </w:rPr>
      </w:pPr>
      <w:r>
        <w:rPr>
          <w:spacing w:val="-1"/>
        </w:rPr>
        <w:t>7. 赛项裁判应严格遵守赛项各项规章制度，确保比赛公平、公 正、公开。比赛当日 7:30 起，赛项裁判应上交所有通信设备，由赛 项执委会统一保管，并安排赛项裁判在指定区域休息或工作，直至赛</w:t>
      </w:r>
    </w:p>
    <w:p w14:paraId="43C2B32F">
      <w:pPr>
        <w:pStyle w:val="2"/>
        <w:spacing w:before="225" w:line="369" w:lineRule="auto"/>
        <w:ind w:left="37" w:firstLine="551"/>
        <w:rPr>
          <w:spacing w:val="-1"/>
        </w:rPr>
      </w:pPr>
      <w:r>
        <w:rPr>
          <w:spacing w:val="-1"/>
        </w:rPr>
        <w:t>项成绩评定结束。</w:t>
      </w:r>
    </w:p>
    <w:p w14:paraId="1EC5E1F4">
      <w:pPr>
        <w:pStyle w:val="2"/>
        <w:spacing w:before="224" w:line="559" w:lineRule="exact"/>
        <w:ind w:left="682"/>
      </w:pPr>
      <w:r>
        <w:rPr>
          <w:spacing w:val="-1"/>
          <w:position w:val="21"/>
        </w:rPr>
        <w:t>8.</w:t>
      </w:r>
      <w:r>
        <w:rPr>
          <w:spacing w:val="63"/>
          <w:position w:val="21"/>
        </w:rPr>
        <w:t xml:space="preserve"> </w:t>
      </w:r>
      <w:r>
        <w:rPr>
          <w:spacing w:val="-1"/>
          <w:position w:val="21"/>
        </w:rPr>
        <w:t>比赛结束后，评分裁判方可入场进行成绩评判。最终竞赛成</w:t>
      </w:r>
    </w:p>
    <w:p w14:paraId="243B87B4">
      <w:pPr>
        <w:pStyle w:val="2"/>
        <w:spacing w:before="2" w:line="222" w:lineRule="auto"/>
        <w:ind w:left="135"/>
      </w:pPr>
      <w:r>
        <w:rPr>
          <w:spacing w:val="-1"/>
        </w:rPr>
        <w:t>绩经复核无误、裁判长签字确认后，按要求上报教育厅。</w:t>
      </w:r>
    </w:p>
    <w:p w14:paraId="282B4BFD">
      <w:pPr>
        <w:pStyle w:val="2"/>
        <w:spacing w:before="222" w:line="369" w:lineRule="auto"/>
        <w:ind w:left="135" w:right="398" w:firstLine="547"/>
      </w:pPr>
      <w:r>
        <w:rPr>
          <w:spacing w:val="1"/>
        </w:rPr>
        <w:t>9. 赛项中每个比赛环节裁判评分的原始材料和最终成绩等结果</w:t>
      </w:r>
      <w:r>
        <w:rPr>
          <w:spacing w:val="6"/>
        </w:rPr>
        <w:t xml:space="preserve"> </w:t>
      </w:r>
      <w:r>
        <w:rPr>
          <w:spacing w:val="-4"/>
        </w:rPr>
        <w:t>性材料，经裁判长签字后，装袋密封留档；由赛项承办院校封存，并</w:t>
      </w:r>
    </w:p>
    <w:p w14:paraId="6B7F8A1F">
      <w:pPr>
        <w:pStyle w:val="2"/>
        <w:spacing w:before="1" w:line="221" w:lineRule="auto"/>
        <w:ind w:left="142"/>
      </w:pPr>
      <w:r>
        <w:rPr>
          <w:spacing w:val="-4"/>
        </w:rPr>
        <w:t>委派专人妥善保管。</w:t>
      </w:r>
    </w:p>
    <w:p w14:paraId="3034FEF6">
      <w:pPr>
        <w:spacing w:before="225" w:line="223" w:lineRule="auto"/>
        <w:ind w:left="68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七、技术规范</w:t>
      </w:r>
    </w:p>
    <w:p w14:paraId="1D06072F">
      <w:pPr>
        <w:pStyle w:val="2"/>
        <w:spacing w:before="221" w:line="560" w:lineRule="exact"/>
        <w:ind w:left="690"/>
      </w:pPr>
      <w:r>
        <w:rPr>
          <w:spacing w:val="-4"/>
          <w:position w:val="20"/>
        </w:rPr>
        <w:t>按照《全国职业院校技能大赛赛项规程编制要求》，结合企业职</w:t>
      </w:r>
    </w:p>
    <w:p w14:paraId="2F8E8E7C">
      <w:pPr>
        <w:pStyle w:val="2"/>
        <w:spacing w:before="1" w:line="220" w:lineRule="auto"/>
        <w:ind w:left="131"/>
      </w:pPr>
      <w:r>
        <w:rPr>
          <w:spacing w:val="-6"/>
        </w:rPr>
        <w:t>业岗位对人才培养需求，并参照表</w:t>
      </w:r>
      <w:r>
        <w:rPr>
          <w:spacing w:val="-57"/>
        </w:rPr>
        <w:t xml:space="preserve"> </w:t>
      </w:r>
      <w:r>
        <w:rPr>
          <w:spacing w:val="-6"/>
        </w:rPr>
        <w:t>2 中相关国</w:t>
      </w:r>
      <w:r>
        <w:rPr>
          <w:spacing w:val="-7"/>
        </w:rPr>
        <w:t>家职业标准制定。参赛</w:t>
      </w:r>
    </w:p>
    <w:p w14:paraId="67525A81">
      <w:pPr>
        <w:pStyle w:val="2"/>
        <w:spacing w:before="227" w:line="220" w:lineRule="auto"/>
        <w:ind w:left="136"/>
      </w:pPr>
      <w:r>
        <w:rPr>
          <w:spacing w:val="-5"/>
        </w:rPr>
        <w:t>代表队在实施竞赛项目中要求遵循表</w:t>
      </w:r>
      <w:r>
        <w:rPr>
          <w:spacing w:val="-51"/>
        </w:rPr>
        <w:t xml:space="preserve"> </w:t>
      </w:r>
      <w:r>
        <w:rPr>
          <w:spacing w:val="-5"/>
        </w:rPr>
        <w:t>2 中的规范。</w:t>
      </w:r>
    </w:p>
    <w:p w14:paraId="140F9040">
      <w:pPr>
        <w:spacing w:before="63" w:line="220" w:lineRule="auto"/>
        <w:ind w:left="253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color w:val="0D0D0D"/>
          <w:spacing w:val="-1"/>
          <w:sz w:val="22"/>
          <w:szCs w:val="22"/>
          <w14:textOutline w14:w="4013" w14:cap="sq" w14:cmpd="sng">
            <w14:solidFill>
              <w14:srgbClr w14:val="0D0D0D"/>
            </w14:solidFill>
            <w14:prstDash w14:val="solid"/>
            <w14:bevel/>
          </w14:textOutline>
        </w:rPr>
        <w:t>表</w:t>
      </w:r>
      <w:r>
        <w:rPr>
          <w:rFonts w:ascii="宋体" w:hAnsi="宋体" w:eastAsia="宋体" w:cs="宋体"/>
          <w:color w:val="0D0D0D"/>
          <w:spacing w:val="-35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D0D0D"/>
          <w:spacing w:val="-1"/>
          <w:sz w:val="22"/>
          <w:szCs w:val="22"/>
        </w:rPr>
        <w:t xml:space="preserve">2    </w:t>
      </w:r>
      <w:r>
        <w:rPr>
          <w:rFonts w:ascii="宋体" w:hAnsi="宋体" w:eastAsia="宋体" w:cs="宋体"/>
          <w:color w:val="0D0D0D"/>
          <w:spacing w:val="-1"/>
          <w:sz w:val="22"/>
          <w:szCs w:val="22"/>
          <w14:textOutline w14:w="4013" w14:cap="sq" w14:cmpd="sng">
            <w14:solidFill>
              <w14:srgbClr w14:val="0D0D0D"/>
            </w14:solidFill>
            <w14:prstDash w14:val="solid"/>
            <w14:bevel/>
          </w14:textOutline>
        </w:rPr>
        <w:t>移动应用与开发赛项技术规范</w:t>
      </w:r>
    </w:p>
    <w:p w14:paraId="4FB423D8">
      <w:pPr>
        <w:spacing w:line="124" w:lineRule="exact"/>
      </w:pPr>
    </w:p>
    <w:tbl>
      <w:tblPr>
        <w:tblStyle w:val="5"/>
        <w:tblW w:w="88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1439"/>
        <w:gridCol w:w="1836"/>
        <w:gridCol w:w="4573"/>
      </w:tblGrid>
      <w:tr w14:paraId="7CE938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964" w:type="dxa"/>
            <w:vAlign w:val="top"/>
          </w:tcPr>
          <w:p w14:paraId="504191BB">
            <w:pPr>
              <w:pStyle w:val="6"/>
              <w:spacing w:before="101" w:line="231" w:lineRule="auto"/>
              <w:ind w:left="282"/>
              <w:rPr>
                <w:sz w:val="20"/>
                <w:szCs w:val="20"/>
              </w:rPr>
            </w:pPr>
            <w:r>
              <w:rPr>
                <w:color w:val="222222"/>
                <w:spacing w:val="3"/>
                <w:sz w:val="20"/>
                <w:szCs w:val="20"/>
                <w14:textOutline w14:w="3795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439" w:type="dxa"/>
            <w:vAlign w:val="top"/>
          </w:tcPr>
          <w:p w14:paraId="3AFED3D8">
            <w:pPr>
              <w:pStyle w:val="6"/>
              <w:spacing w:before="101" w:line="231" w:lineRule="auto"/>
              <w:ind w:left="306"/>
              <w:rPr>
                <w:sz w:val="20"/>
                <w:szCs w:val="20"/>
              </w:rPr>
            </w:pPr>
            <w:r>
              <w:rPr>
                <w:color w:val="222222"/>
                <w:spacing w:val="7"/>
                <w:sz w:val="20"/>
                <w:szCs w:val="20"/>
                <w14:textOutline w14:w="3795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标准类型</w:t>
            </w:r>
          </w:p>
        </w:tc>
        <w:tc>
          <w:tcPr>
            <w:tcW w:w="1836" w:type="dxa"/>
            <w:vAlign w:val="top"/>
          </w:tcPr>
          <w:p w14:paraId="625DE77C">
            <w:pPr>
              <w:pStyle w:val="6"/>
              <w:spacing w:before="101" w:line="231" w:lineRule="auto"/>
              <w:ind w:left="612"/>
              <w:rPr>
                <w:sz w:val="20"/>
                <w:szCs w:val="20"/>
              </w:rPr>
            </w:pPr>
            <w:r>
              <w:rPr>
                <w:color w:val="222222"/>
                <w:spacing w:val="6"/>
                <w:sz w:val="20"/>
                <w:szCs w:val="20"/>
                <w14:textOutline w14:w="3795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标准号</w:t>
            </w:r>
          </w:p>
        </w:tc>
        <w:tc>
          <w:tcPr>
            <w:tcW w:w="4573" w:type="dxa"/>
            <w:vAlign w:val="top"/>
          </w:tcPr>
          <w:p w14:paraId="7FFC4029">
            <w:pPr>
              <w:pStyle w:val="6"/>
              <w:spacing w:before="101" w:line="229" w:lineRule="auto"/>
              <w:ind w:left="1874"/>
              <w:rPr>
                <w:sz w:val="20"/>
                <w:szCs w:val="20"/>
              </w:rPr>
            </w:pPr>
            <w:r>
              <w:rPr>
                <w:color w:val="222222"/>
                <w:spacing w:val="7"/>
                <w:sz w:val="20"/>
                <w:szCs w:val="20"/>
                <w14:textOutline w14:w="3795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标准名称</w:t>
            </w:r>
          </w:p>
        </w:tc>
      </w:tr>
      <w:tr w14:paraId="164B2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964" w:type="dxa"/>
            <w:vAlign w:val="top"/>
          </w:tcPr>
          <w:p w14:paraId="2A90DC39">
            <w:pPr>
              <w:pStyle w:val="6"/>
              <w:spacing w:before="130" w:line="187" w:lineRule="auto"/>
              <w:ind w:left="449"/>
              <w:rPr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1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41BDE1E8">
            <w:pPr>
              <w:spacing w:line="319" w:lineRule="auto"/>
              <w:rPr>
                <w:rFonts w:ascii="Arial"/>
                <w:sz w:val="21"/>
              </w:rPr>
            </w:pPr>
          </w:p>
          <w:p w14:paraId="5AE680AF">
            <w:pPr>
              <w:spacing w:line="319" w:lineRule="auto"/>
              <w:rPr>
                <w:rFonts w:ascii="Arial"/>
                <w:sz w:val="21"/>
              </w:rPr>
            </w:pPr>
          </w:p>
          <w:p w14:paraId="593E3F44">
            <w:pPr>
              <w:spacing w:line="319" w:lineRule="auto"/>
              <w:rPr>
                <w:rFonts w:ascii="Arial"/>
                <w:sz w:val="21"/>
              </w:rPr>
            </w:pPr>
          </w:p>
          <w:p w14:paraId="05FA44DE">
            <w:pPr>
              <w:pStyle w:val="6"/>
              <w:spacing w:before="65" w:line="231" w:lineRule="auto"/>
              <w:ind w:left="333"/>
              <w:rPr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国际标准</w:t>
            </w:r>
          </w:p>
        </w:tc>
        <w:tc>
          <w:tcPr>
            <w:tcW w:w="1836" w:type="dxa"/>
            <w:vAlign w:val="top"/>
          </w:tcPr>
          <w:p w14:paraId="6391F64C">
            <w:pPr>
              <w:rPr>
                <w:rFonts w:ascii="Arial"/>
                <w:sz w:val="21"/>
              </w:rPr>
            </w:pPr>
          </w:p>
        </w:tc>
        <w:tc>
          <w:tcPr>
            <w:tcW w:w="4573" w:type="dxa"/>
            <w:vAlign w:val="top"/>
          </w:tcPr>
          <w:p w14:paraId="5D68D737">
            <w:pPr>
              <w:pStyle w:val="6"/>
              <w:spacing w:before="95" w:line="230" w:lineRule="auto"/>
              <w:ind w:left="897"/>
              <w:rPr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CMMI</w:t>
            </w:r>
            <w:r>
              <w:rPr>
                <w:color w:val="222222"/>
                <w:spacing w:val="-24"/>
                <w:sz w:val="20"/>
                <w:szCs w:val="20"/>
              </w:rPr>
              <w:t xml:space="preserve"> </w:t>
            </w:r>
            <w:r>
              <w:rPr>
                <w:color w:val="222222"/>
                <w:spacing w:val="9"/>
                <w:sz w:val="20"/>
                <w:szCs w:val="20"/>
              </w:rPr>
              <w:t>软件能力成熟度集成模型</w:t>
            </w:r>
          </w:p>
        </w:tc>
      </w:tr>
      <w:tr w14:paraId="317D53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64" w:type="dxa"/>
            <w:vAlign w:val="top"/>
          </w:tcPr>
          <w:p w14:paraId="2E8CC57A">
            <w:pPr>
              <w:pStyle w:val="6"/>
              <w:spacing w:before="245" w:line="186" w:lineRule="auto"/>
              <w:ind w:left="436"/>
              <w:rPr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2</w:t>
            </w: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3BCA7708">
            <w:pPr>
              <w:rPr>
                <w:rFonts w:ascii="Arial"/>
                <w:sz w:val="21"/>
              </w:rPr>
            </w:pPr>
          </w:p>
        </w:tc>
        <w:tc>
          <w:tcPr>
            <w:tcW w:w="1836" w:type="dxa"/>
            <w:vAlign w:val="top"/>
          </w:tcPr>
          <w:p w14:paraId="5C5D0B67">
            <w:pPr>
              <w:pStyle w:val="6"/>
              <w:spacing w:before="52" w:line="261" w:lineRule="auto"/>
              <w:ind w:left="397" w:right="284" w:hanging="94"/>
              <w:rPr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ISO</w:t>
            </w:r>
            <w:r>
              <w:rPr>
                <w:color w:val="222222"/>
                <w:spacing w:val="21"/>
                <w:sz w:val="20"/>
                <w:szCs w:val="20"/>
              </w:rPr>
              <w:t>/</w:t>
            </w:r>
            <w:r>
              <w:rPr>
                <w:color w:val="222222"/>
                <w:sz w:val="20"/>
                <w:szCs w:val="20"/>
              </w:rPr>
              <w:t>IEC</w:t>
            </w:r>
            <w:r>
              <w:rPr>
                <w:color w:val="222222"/>
                <w:spacing w:val="21"/>
                <w:sz w:val="20"/>
                <w:szCs w:val="20"/>
              </w:rPr>
              <w:t>/</w:t>
            </w:r>
            <w:r>
              <w:rPr>
                <w:color w:val="222222"/>
                <w:sz w:val="20"/>
                <w:szCs w:val="20"/>
              </w:rPr>
              <w:t xml:space="preserve">IEEE </w:t>
            </w:r>
            <w:r>
              <w:rPr>
                <w:color w:val="222222"/>
                <w:spacing w:val="4"/>
                <w:sz w:val="20"/>
                <w:szCs w:val="20"/>
              </w:rPr>
              <w:t>90003:2018</w:t>
            </w:r>
          </w:p>
        </w:tc>
        <w:tc>
          <w:tcPr>
            <w:tcW w:w="4573" w:type="dxa"/>
            <w:vAlign w:val="top"/>
          </w:tcPr>
          <w:p w14:paraId="757AB4C4">
            <w:pPr>
              <w:pStyle w:val="6"/>
              <w:spacing w:before="52" w:line="260" w:lineRule="auto"/>
              <w:ind w:left="2086" w:right="159" w:hanging="1914"/>
              <w:rPr>
                <w:sz w:val="20"/>
                <w:szCs w:val="20"/>
              </w:rPr>
            </w:pPr>
            <w:r>
              <w:rPr>
                <w:color w:val="222222"/>
                <w:spacing w:val="7"/>
                <w:sz w:val="20"/>
                <w:szCs w:val="20"/>
              </w:rPr>
              <w:t xml:space="preserve">软件工程 </w:t>
            </w:r>
            <w:r>
              <w:rPr>
                <w:color w:val="222222"/>
                <w:sz w:val="20"/>
                <w:szCs w:val="20"/>
              </w:rPr>
              <w:t>ISO</w:t>
            </w:r>
            <w:r>
              <w:rPr>
                <w:color w:val="222222"/>
                <w:spacing w:val="7"/>
                <w:sz w:val="20"/>
                <w:szCs w:val="20"/>
              </w:rPr>
              <w:t xml:space="preserve"> 9001:2015</w:t>
            </w:r>
            <w:r>
              <w:rPr>
                <w:color w:val="222222"/>
                <w:spacing w:val="-33"/>
                <w:sz w:val="20"/>
                <w:szCs w:val="20"/>
              </w:rPr>
              <w:t xml:space="preserve"> </w:t>
            </w:r>
            <w:r>
              <w:rPr>
                <w:color w:val="222222"/>
                <w:spacing w:val="7"/>
                <w:sz w:val="20"/>
                <w:szCs w:val="20"/>
              </w:rPr>
              <w:t>应用于计算机软件的</w:t>
            </w:r>
            <w:r>
              <w:rPr>
                <w:color w:val="222222"/>
                <w:sz w:val="20"/>
                <w:szCs w:val="20"/>
              </w:rPr>
              <w:t xml:space="preserve"> </w:t>
            </w:r>
            <w:r>
              <w:rPr>
                <w:color w:val="222222"/>
                <w:spacing w:val="2"/>
                <w:sz w:val="20"/>
                <w:szCs w:val="20"/>
              </w:rPr>
              <w:t>指南</w:t>
            </w:r>
          </w:p>
        </w:tc>
      </w:tr>
      <w:tr w14:paraId="18C18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64" w:type="dxa"/>
            <w:vAlign w:val="top"/>
          </w:tcPr>
          <w:p w14:paraId="795395E3">
            <w:pPr>
              <w:pStyle w:val="6"/>
              <w:spacing w:before="133" w:line="186" w:lineRule="auto"/>
              <w:ind w:left="438"/>
              <w:rPr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3</w:t>
            </w: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605CED31">
            <w:pPr>
              <w:rPr>
                <w:rFonts w:ascii="Arial"/>
                <w:sz w:val="21"/>
              </w:rPr>
            </w:pPr>
          </w:p>
        </w:tc>
        <w:tc>
          <w:tcPr>
            <w:tcW w:w="1836" w:type="dxa"/>
            <w:vAlign w:val="top"/>
          </w:tcPr>
          <w:p w14:paraId="6EA22A01">
            <w:pPr>
              <w:pStyle w:val="6"/>
              <w:spacing w:before="97" w:line="234" w:lineRule="auto"/>
              <w:ind w:left="303"/>
              <w:rPr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ISO</w:t>
            </w:r>
            <w:r>
              <w:rPr>
                <w:color w:val="222222"/>
                <w:spacing w:val="5"/>
                <w:sz w:val="20"/>
                <w:szCs w:val="20"/>
              </w:rPr>
              <w:t>/</w:t>
            </w:r>
            <w:r>
              <w:rPr>
                <w:color w:val="222222"/>
                <w:sz w:val="20"/>
                <w:szCs w:val="20"/>
              </w:rPr>
              <w:t>IEC</w:t>
            </w:r>
            <w:r>
              <w:rPr>
                <w:color w:val="222222"/>
                <w:spacing w:val="16"/>
                <w:sz w:val="20"/>
                <w:szCs w:val="20"/>
              </w:rPr>
              <w:t xml:space="preserve"> </w:t>
            </w:r>
            <w:r>
              <w:rPr>
                <w:color w:val="222222"/>
                <w:spacing w:val="5"/>
                <w:sz w:val="20"/>
                <w:szCs w:val="20"/>
              </w:rPr>
              <w:t>2500</w:t>
            </w:r>
          </w:p>
        </w:tc>
        <w:tc>
          <w:tcPr>
            <w:tcW w:w="4573" w:type="dxa"/>
            <w:vAlign w:val="top"/>
          </w:tcPr>
          <w:p w14:paraId="46FAC735">
            <w:pPr>
              <w:pStyle w:val="6"/>
              <w:spacing w:before="97" w:line="231" w:lineRule="auto"/>
              <w:ind w:left="1360"/>
              <w:rPr>
                <w:sz w:val="20"/>
                <w:szCs w:val="20"/>
              </w:rPr>
            </w:pPr>
            <w:r>
              <w:rPr>
                <w:color w:val="222222"/>
                <w:spacing w:val="7"/>
                <w:sz w:val="20"/>
                <w:szCs w:val="20"/>
              </w:rPr>
              <w:t>系统和软件质量模型</w:t>
            </w:r>
          </w:p>
        </w:tc>
      </w:tr>
      <w:tr w14:paraId="450B2C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64" w:type="dxa"/>
            <w:vAlign w:val="top"/>
          </w:tcPr>
          <w:p w14:paraId="75B4B8A4">
            <w:pPr>
              <w:pStyle w:val="6"/>
              <w:spacing w:before="133" w:line="186" w:lineRule="auto"/>
              <w:ind w:left="433"/>
              <w:rPr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4</w:t>
            </w: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48B20C40">
            <w:pPr>
              <w:rPr>
                <w:rFonts w:ascii="Arial"/>
                <w:sz w:val="21"/>
              </w:rPr>
            </w:pPr>
          </w:p>
        </w:tc>
        <w:tc>
          <w:tcPr>
            <w:tcW w:w="1836" w:type="dxa"/>
            <w:vAlign w:val="top"/>
          </w:tcPr>
          <w:p w14:paraId="1436BC9F">
            <w:pPr>
              <w:pStyle w:val="6"/>
              <w:spacing w:before="132" w:line="187" w:lineRule="auto"/>
              <w:ind w:left="147"/>
              <w:rPr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IEEE</w:t>
            </w:r>
            <w:r>
              <w:rPr>
                <w:color w:val="222222"/>
                <w:spacing w:val="28"/>
                <w:sz w:val="20"/>
                <w:szCs w:val="20"/>
              </w:rPr>
              <w:t xml:space="preserve"> </w:t>
            </w:r>
            <w:r>
              <w:rPr>
                <w:color w:val="222222"/>
                <w:spacing w:val="3"/>
                <w:sz w:val="20"/>
                <w:szCs w:val="20"/>
              </w:rPr>
              <w:t>1517—2010</w:t>
            </w:r>
          </w:p>
        </w:tc>
        <w:tc>
          <w:tcPr>
            <w:tcW w:w="4573" w:type="dxa"/>
            <w:vAlign w:val="top"/>
          </w:tcPr>
          <w:p w14:paraId="1BDE60E1">
            <w:pPr>
              <w:pStyle w:val="6"/>
              <w:spacing w:before="98" w:line="229" w:lineRule="auto"/>
              <w:ind w:left="406"/>
              <w:rPr>
                <w:sz w:val="20"/>
                <w:szCs w:val="20"/>
              </w:rPr>
            </w:pPr>
            <w:r>
              <w:rPr>
                <w:color w:val="222222"/>
                <w:spacing w:val="7"/>
                <w:sz w:val="20"/>
                <w:szCs w:val="20"/>
              </w:rPr>
              <w:t>信息技术 软件寿命周期过程</w:t>
            </w:r>
            <w:r>
              <w:rPr>
                <w:color w:val="222222"/>
                <w:spacing w:val="36"/>
                <w:sz w:val="20"/>
                <w:szCs w:val="20"/>
              </w:rPr>
              <w:t xml:space="preserve"> </w:t>
            </w:r>
            <w:r>
              <w:rPr>
                <w:color w:val="222222"/>
                <w:spacing w:val="7"/>
                <w:sz w:val="20"/>
                <w:szCs w:val="20"/>
              </w:rPr>
              <w:t>再使用过程</w:t>
            </w:r>
          </w:p>
        </w:tc>
      </w:tr>
      <w:tr w14:paraId="38C6E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64" w:type="dxa"/>
            <w:vAlign w:val="top"/>
          </w:tcPr>
          <w:p w14:paraId="4DCCE992">
            <w:pPr>
              <w:pStyle w:val="6"/>
              <w:spacing w:before="136" w:line="184" w:lineRule="auto"/>
              <w:ind w:left="438"/>
              <w:rPr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5</w:t>
            </w: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63230656">
            <w:pPr>
              <w:rPr>
                <w:rFonts w:ascii="Arial"/>
                <w:sz w:val="21"/>
              </w:rPr>
            </w:pPr>
          </w:p>
        </w:tc>
        <w:tc>
          <w:tcPr>
            <w:tcW w:w="1836" w:type="dxa"/>
            <w:vAlign w:val="top"/>
          </w:tcPr>
          <w:p w14:paraId="2B1DFBF2">
            <w:pPr>
              <w:pStyle w:val="6"/>
              <w:spacing w:before="133" w:line="187" w:lineRule="auto"/>
              <w:ind w:left="147"/>
              <w:rPr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IEEE</w:t>
            </w:r>
            <w:r>
              <w:rPr>
                <w:color w:val="222222"/>
                <w:spacing w:val="28"/>
                <w:sz w:val="20"/>
                <w:szCs w:val="20"/>
              </w:rPr>
              <w:t xml:space="preserve"> </w:t>
            </w:r>
            <w:r>
              <w:rPr>
                <w:color w:val="222222"/>
                <w:spacing w:val="3"/>
                <w:sz w:val="20"/>
                <w:szCs w:val="20"/>
              </w:rPr>
              <w:t>1074—2006</w:t>
            </w:r>
          </w:p>
        </w:tc>
        <w:tc>
          <w:tcPr>
            <w:tcW w:w="4573" w:type="dxa"/>
            <w:vAlign w:val="top"/>
          </w:tcPr>
          <w:p w14:paraId="5D9AACF8">
            <w:pPr>
              <w:pStyle w:val="6"/>
              <w:spacing w:before="98" w:line="229" w:lineRule="auto"/>
              <w:ind w:left="1035"/>
              <w:rPr>
                <w:sz w:val="20"/>
                <w:szCs w:val="20"/>
              </w:rPr>
            </w:pPr>
            <w:r>
              <w:rPr>
                <w:color w:val="222222"/>
                <w:spacing w:val="8"/>
                <w:sz w:val="20"/>
                <w:szCs w:val="20"/>
              </w:rPr>
              <w:t>开发软件项目生命周期过程</w:t>
            </w:r>
          </w:p>
        </w:tc>
      </w:tr>
      <w:tr w14:paraId="3E0DCC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64" w:type="dxa"/>
            <w:vAlign w:val="top"/>
          </w:tcPr>
          <w:p w14:paraId="3FEB8EB9">
            <w:pPr>
              <w:pStyle w:val="6"/>
              <w:spacing w:before="247" w:line="186" w:lineRule="auto"/>
              <w:ind w:left="435"/>
              <w:rPr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6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3E2AD68A">
            <w:pPr>
              <w:spacing w:line="331" w:lineRule="auto"/>
              <w:rPr>
                <w:rFonts w:ascii="Arial"/>
                <w:sz w:val="21"/>
              </w:rPr>
            </w:pPr>
          </w:p>
          <w:p w14:paraId="2F627F85">
            <w:pPr>
              <w:spacing w:line="331" w:lineRule="auto"/>
              <w:rPr>
                <w:rFonts w:ascii="Arial"/>
                <w:sz w:val="21"/>
              </w:rPr>
            </w:pPr>
          </w:p>
          <w:p w14:paraId="6E19AD1F">
            <w:pPr>
              <w:pStyle w:val="6"/>
              <w:spacing w:before="65" w:line="231" w:lineRule="auto"/>
              <w:ind w:left="333"/>
              <w:rPr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国家标准</w:t>
            </w:r>
          </w:p>
        </w:tc>
        <w:tc>
          <w:tcPr>
            <w:tcW w:w="1836" w:type="dxa"/>
            <w:vAlign w:val="top"/>
          </w:tcPr>
          <w:p w14:paraId="1D5EB281">
            <w:pPr>
              <w:pStyle w:val="6"/>
              <w:spacing w:before="54" w:line="254" w:lineRule="auto"/>
              <w:ind w:left="349" w:right="337" w:firstLine="360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"https://openstd.samr.gov.cn/bzgk/gb/javascript:void(0)" </w:instrText>
            </w:r>
            <w:r>
              <w:fldChar w:fldCharType="separate"/>
            </w:r>
            <w:r>
              <w:rPr>
                <w:sz w:val="20"/>
                <w:szCs w:val="20"/>
              </w:rPr>
              <w:t>GB</w:t>
            </w:r>
            <w:r>
              <w:rPr>
                <w:spacing w:val="8"/>
                <w:sz w:val="20"/>
                <w:szCs w:val="20"/>
              </w:rPr>
              <w:t>/Z</w:t>
            </w:r>
            <w:r>
              <w:rPr>
                <w:spacing w:val="8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spacing w:val="4"/>
                <w:sz w:val="20"/>
                <w:szCs w:val="20"/>
              </w:rPr>
              <w:t>31102—2014</w:t>
            </w:r>
          </w:p>
        </w:tc>
        <w:tc>
          <w:tcPr>
            <w:tcW w:w="4573" w:type="dxa"/>
            <w:vAlign w:val="top"/>
          </w:tcPr>
          <w:p w14:paraId="2BFFCE91">
            <w:pPr>
              <w:pStyle w:val="6"/>
              <w:spacing w:before="211" w:line="231" w:lineRule="auto"/>
              <w:ind w:left="774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"https://openstd.samr.gov.cn/bzgk/gb/javascript:void(0)" </w:instrText>
            </w:r>
            <w:r>
              <w:fldChar w:fldCharType="separate"/>
            </w:r>
            <w:r>
              <w:rPr>
                <w:spacing w:val="8"/>
                <w:sz w:val="20"/>
                <w:szCs w:val="20"/>
              </w:rPr>
              <w:t>软件工程 软件工程知识体系指南</w:t>
            </w:r>
            <w:r>
              <w:rPr>
                <w:spacing w:val="8"/>
                <w:sz w:val="20"/>
                <w:szCs w:val="20"/>
              </w:rPr>
              <w:fldChar w:fldCharType="end"/>
            </w:r>
          </w:p>
        </w:tc>
      </w:tr>
      <w:tr w14:paraId="0D5B98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64" w:type="dxa"/>
            <w:vAlign w:val="top"/>
          </w:tcPr>
          <w:p w14:paraId="00841189">
            <w:pPr>
              <w:pStyle w:val="6"/>
              <w:spacing w:before="250" w:line="184" w:lineRule="auto"/>
              <w:ind w:left="439"/>
              <w:rPr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7</w:t>
            </w: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3A2C9EC7">
            <w:pPr>
              <w:rPr>
                <w:rFonts w:ascii="Arial"/>
                <w:sz w:val="21"/>
              </w:rPr>
            </w:pPr>
          </w:p>
        </w:tc>
        <w:tc>
          <w:tcPr>
            <w:tcW w:w="1836" w:type="dxa"/>
            <w:vAlign w:val="top"/>
          </w:tcPr>
          <w:p w14:paraId="66639975">
            <w:pPr>
              <w:pStyle w:val="6"/>
              <w:spacing w:before="56" w:line="234" w:lineRule="auto"/>
              <w:ind w:left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GB</w:t>
            </w:r>
            <w:r>
              <w:rPr>
                <w:spacing w:val="8"/>
                <w:sz w:val="20"/>
                <w:szCs w:val="20"/>
              </w:rPr>
              <w:t>/T</w:t>
            </w:r>
          </w:p>
          <w:p w14:paraId="50B989E9">
            <w:pPr>
              <w:pStyle w:val="6"/>
              <w:spacing w:before="93" w:line="187" w:lineRule="auto"/>
              <w:ind w:left="34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41391—2022</w:t>
            </w:r>
          </w:p>
        </w:tc>
        <w:tc>
          <w:tcPr>
            <w:tcW w:w="4573" w:type="dxa"/>
            <w:vAlign w:val="top"/>
          </w:tcPr>
          <w:p w14:paraId="6CD9ECBA">
            <w:pPr>
              <w:pStyle w:val="6"/>
              <w:spacing w:before="55" w:line="259" w:lineRule="auto"/>
              <w:ind w:left="1247" w:right="109" w:hanging="1129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《信息安全技术 移动互联网应用程序（</w:t>
            </w:r>
            <w:r>
              <w:rPr>
                <w:sz w:val="20"/>
                <w:szCs w:val="20"/>
              </w:rPr>
              <w:t>App</w:t>
            </w:r>
            <w:r>
              <w:rPr>
                <w:spacing w:val="7"/>
                <w:sz w:val="20"/>
                <w:szCs w:val="20"/>
              </w:rPr>
              <w:t>）收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集个人信息基本要求》</w:t>
            </w:r>
          </w:p>
        </w:tc>
      </w:tr>
      <w:tr w14:paraId="33E4F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964" w:type="dxa"/>
            <w:vAlign w:val="top"/>
          </w:tcPr>
          <w:p w14:paraId="4E471D86">
            <w:pPr>
              <w:pStyle w:val="6"/>
              <w:spacing w:before="135" w:line="186" w:lineRule="auto"/>
              <w:ind w:left="435"/>
              <w:rPr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8</w:t>
            </w: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32569F92">
            <w:pPr>
              <w:rPr>
                <w:rFonts w:ascii="Arial"/>
                <w:sz w:val="21"/>
              </w:rPr>
            </w:pPr>
          </w:p>
        </w:tc>
        <w:tc>
          <w:tcPr>
            <w:tcW w:w="1836" w:type="dxa"/>
            <w:vAlign w:val="top"/>
          </w:tcPr>
          <w:p w14:paraId="463155B5">
            <w:pPr>
              <w:pStyle w:val="6"/>
              <w:spacing w:before="100" w:line="234" w:lineRule="auto"/>
              <w:ind w:left="709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"https://openstd.samr.gov.cn/bzgk/gb/javascript:void(0)" </w:instrText>
            </w:r>
            <w:r>
              <w:fldChar w:fldCharType="separate"/>
            </w:r>
            <w:r>
              <w:rPr>
                <w:sz w:val="20"/>
                <w:szCs w:val="20"/>
              </w:rPr>
              <w:t>GB</w:t>
            </w:r>
            <w:r>
              <w:rPr>
                <w:spacing w:val="8"/>
                <w:sz w:val="20"/>
                <w:szCs w:val="20"/>
              </w:rPr>
              <w:t>/Z</w:t>
            </w:r>
            <w:r>
              <w:rPr>
                <w:spacing w:val="8"/>
                <w:sz w:val="20"/>
                <w:szCs w:val="20"/>
              </w:rPr>
              <w:fldChar w:fldCharType="end"/>
            </w:r>
          </w:p>
        </w:tc>
        <w:tc>
          <w:tcPr>
            <w:tcW w:w="4573" w:type="dxa"/>
            <w:vAlign w:val="top"/>
          </w:tcPr>
          <w:p w14:paraId="0027C753">
            <w:pPr>
              <w:pStyle w:val="6"/>
              <w:spacing w:before="99" w:line="228" w:lineRule="auto"/>
              <w:ind w:left="196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软件工程 软件生存周期过程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用于项目管理的</w:t>
            </w:r>
          </w:p>
        </w:tc>
      </w:tr>
    </w:tbl>
    <w:p w14:paraId="688ED4E8">
      <w:pPr>
        <w:rPr>
          <w:rFonts w:ascii="Arial"/>
          <w:sz w:val="21"/>
        </w:rPr>
      </w:pPr>
    </w:p>
    <w:p w14:paraId="1AE9685A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9"/>
          <w:pgMar w:top="1431" w:right="1401" w:bottom="1142" w:left="1687" w:header="0" w:footer="979" w:gutter="0"/>
          <w:cols w:space="720" w:num="1"/>
        </w:sectPr>
      </w:pPr>
    </w:p>
    <w:p w14:paraId="4BA5F7F3">
      <w:pPr>
        <w:spacing w:line="91" w:lineRule="auto"/>
        <w:rPr>
          <w:rFonts w:ascii="Arial"/>
          <w:sz w:val="2"/>
        </w:rPr>
      </w:pPr>
    </w:p>
    <w:tbl>
      <w:tblPr>
        <w:tblStyle w:val="5"/>
        <w:tblW w:w="88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1439"/>
        <w:gridCol w:w="1836"/>
        <w:gridCol w:w="4573"/>
      </w:tblGrid>
      <w:tr w14:paraId="6E3360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964" w:type="dxa"/>
            <w:vAlign w:val="top"/>
          </w:tcPr>
          <w:p w14:paraId="73DBB76A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3760B8D5">
            <w:pPr>
              <w:rPr>
                <w:rFonts w:ascii="Arial"/>
                <w:sz w:val="21"/>
              </w:rPr>
            </w:pPr>
          </w:p>
        </w:tc>
        <w:tc>
          <w:tcPr>
            <w:tcW w:w="1836" w:type="dxa"/>
            <w:vAlign w:val="top"/>
          </w:tcPr>
          <w:p w14:paraId="07F4D48B">
            <w:pPr>
              <w:pStyle w:val="6"/>
              <w:spacing w:before="91" w:line="187" w:lineRule="auto"/>
              <w:ind w:left="347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"https://openstd.samr.gov.cn/bzgk/gb/javascript:void(0)" </w:instrText>
            </w:r>
            <w:r>
              <w:fldChar w:fldCharType="separate"/>
            </w:r>
            <w:r>
              <w:rPr>
                <w:spacing w:val="4"/>
                <w:sz w:val="20"/>
                <w:szCs w:val="20"/>
              </w:rPr>
              <w:t>20156—2006</w:t>
            </w:r>
            <w:r>
              <w:rPr>
                <w:spacing w:val="4"/>
                <w:sz w:val="20"/>
                <w:szCs w:val="20"/>
              </w:rPr>
              <w:fldChar w:fldCharType="end"/>
            </w:r>
          </w:p>
        </w:tc>
        <w:tc>
          <w:tcPr>
            <w:tcW w:w="4573" w:type="dxa"/>
            <w:vAlign w:val="top"/>
          </w:tcPr>
          <w:p w14:paraId="4B65E142">
            <w:pPr>
              <w:pStyle w:val="6"/>
              <w:spacing w:before="55" w:line="232" w:lineRule="auto"/>
              <w:ind w:left="208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指南</w:t>
            </w:r>
          </w:p>
        </w:tc>
      </w:tr>
      <w:tr w14:paraId="1E54CC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64" w:type="dxa"/>
            <w:vAlign w:val="top"/>
          </w:tcPr>
          <w:p w14:paraId="57374826">
            <w:pPr>
              <w:pStyle w:val="6"/>
              <w:spacing w:before="244" w:line="186" w:lineRule="auto"/>
              <w:ind w:left="435"/>
              <w:rPr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9</w:t>
            </w: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71F16E4A">
            <w:pPr>
              <w:rPr>
                <w:rFonts w:ascii="Arial"/>
                <w:sz w:val="21"/>
              </w:rPr>
            </w:pPr>
          </w:p>
        </w:tc>
        <w:tc>
          <w:tcPr>
            <w:tcW w:w="1836" w:type="dxa"/>
            <w:vAlign w:val="top"/>
          </w:tcPr>
          <w:p w14:paraId="40D510BA">
            <w:pPr>
              <w:pStyle w:val="6"/>
              <w:spacing w:before="53" w:line="234" w:lineRule="auto"/>
              <w:ind w:left="709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"https://openstd.samr.gov.cn/bzgk/gb/javascript:void(0)" </w:instrText>
            </w:r>
            <w:r>
              <w:fldChar w:fldCharType="separate"/>
            </w:r>
            <w:r>
              <w:rPr>
                <w:sz w:val="20"/>
                <w:szCs w:val="20"/>
              </w:rPr>
              <w:t>GB</w:t>
            </w:r>
            <w:r>
              <w:rPr>
                <w:spacing w:val="8"/>
                <w:sz w:val="20"/>
                <w:szCs w:val="20"/>
              </w:rPr>
              <w:t>/T</w:t>
            </w:r>
            <w:r>
              <w:rPr>
                <w:spacing w:val="8"/>
                <w:sz w:val="20"/>
                <w:szCs w:val="20"/>
              </w:rPr>
              <w:fldChar w:fldCharType="end"/>
            </w:r>
          </w:p>
          <w:p w14:paraId="05F92BFC">
            <w:pPr>
              <w:pStyle w:val="6"/>
              <w:spacing w:before="94" w:line="186" w:lineRule="auto"/>
              <w:ind w:left="243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38634.4—2020</w:t>
            </w:r>
          </w:p>
        </w:tc>
        <w:tc>
          <w:tcPr>
            <w:tcW w:w="4573" w:type="dxa"/>
            <w:vAlign w:val="top"/>
          </w:tcPr>
          <w:p w14:paraId="1C8739CE">
            <w:pPr>
              <w:pStyle w:val="6"/>
              <w:spacing w:before="208" w:line="231" w:lineRule="auto"/>
              <w:ind w:left="126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"https://openstd.samr.gov.cn/bzgk/gb/javascript:void(0)" </w:instrText>
            </w:r>
            <w:r>
              <w:fldChar w:fldCharType="separate"/>
            </w:r>
            <w:r>
              <w:rPr>
                <w:spacing w:val="3"/>
                <w:sz w:val="20"/>
                <w:szCs w:val="20"/>
              </w:rPr>
              <w:t>系统与软件工程 软件测试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第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4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部分：测试技术</w:t>
            </w:r>
            <w:r>
              <w:rPr>
                <w:spacing w:val="3"/>
                <w:sz w:val="20"/>
                <w:szCs w:val="20"/>
              </w:rPr>
              <w:fldChar w:fldCharType="end"/>
            </w:r>
          </w:p>
        </w:tc>
      </w:tr>
      <w:tr w14:paraId="476914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64" w:type="dxa"/>
            <w:vAlign w:val="top"/>
          </w:tcPr>
          <w:p w14:paraId="02A998C3">
            <w:pPr>
              <w:pStyle w:val="6"/>
              <w:spacing w:before="243" w:line="187" w:lineRule="auto"/>
              <w:ind w:left="396"/>
              <w:rPr>
                <w:sz w:val="20"/>
                <w:szCs w:val="20"/>
              </w:rPr>
            </w:pPr>
            <w:r>
              <w:rPr>
                <w:color w:val="222222"/>
                <w:spacing w:val="-7"/>
                <w:sz w:val="20"/>
                <w:szCs w:val="20"/>
              </w:rPr>
              <w:t>10</w:t>
            </w: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37440532">
            <w:pPr>
              <w:rPr>
                <w:rFonts w:ascii="Arial"/>
                <w:sz w:val="21"/>
              </w:rPr>
            </w:pPr>
          </w:p>
        </w:tc>
        <w:tc>
          <w:tcPr>
            <w:tcW w:w="1836" w:type="dxa"/>
            <w:vAlign w:val="top"/>
          </w:tcPr>
          <w:p w14:paraId="06A3C5E9">
            <w:pPr>
              <w:pStyle w:val="6"/>
              <w:spacing w:before="52" w:line="234" w:lineRule="auto"/>
              <w:ind w:left="709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"https://openstd.samr.gov.cn/bzgk/gb/javascript:void(0)" </w:instrText>
            </w:r>
            <w:r>
              <w:fldChar w:fldCharType="separate"/>
            </w:r>
            <w:r>
              <w:rPr>
                <w:sz w:val="20"/>
                <w:szCs w:val="20"/>
              </w:rPr>
              <w:t>GB</w:t>
            </w:r>
            <w:r>
              <w:rPr>
                <w:spacing w:val="8"/>
                <w:sz w:val="20"/>
                <w:szCs w:val="20"/>
              </w:rPr>
              <w:t>/T</w:t>
            </w:r>
            <w:r>
              <w:rPr>
                <w:spacing w:val="8"/>
                <w:sz w:val="20"/>
                <w:szCs w:val="20"/>
              </w:rPr>
              <w:fldChar w:fldCharType="end"/>
            </w:r>
          </w:p>
          <w:p w14:paraId="7848E136">
            <w:pPr>
              <w:pStyle w:val="6"/>
              <w:spacing w:before="94" w:line="186" w:lineRule="auto"/>
              <w:ind w:left="243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38634.3—2020</w:t>
            </w:r>
          </w:p>
        </w:tc>
        <w:tc>
          <w:tcPr>
            <w:tcW w:w="4573" w:type="dxa"/>
            <w:vAlign w:val="top"/>
          </w:tcPr>
          <w:p w14:paraId="2F1DFD4C">
            <w:pPr>
              <w:pStyle w:val="6"/>
              <w:spacing w:before="208" w:line="231" w:lineRule="auto"/>
              <w:ind w:left="126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"https://openstd.samr.gov.cn/bzgk/gb/javascript:void(0)" </w:instrText>
            </w:r>
            <w:r>
              <w:fldChar w:fldCharType="separate"/>
            </w:r>
            <w:r>
              <w:rPr>
                <w:spacing w:val="3"/>
                <w:sz w:val="20"/>
                <w:szCs w:val="20"/>
              </w:rPr>
              <w:t>系统与软件工程 软件测试</w:t>
            </w:r>
            <w:r>
              <w:rPr>
                <w:spacing w:val="35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第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3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部分：测试文档</w:t>
            </w:r>
            <w:r>
              <w:rPr>
                <w:spacing w:val="3"/>
                <w:sz w:val="20"/>
                <w:szCs w:val="20"/>
              </w:rPr>
              <w:fldChar w:fldCharType="end"/>
            </w:r>
          </w:p>
        </w:tc>
      </w:tr>
      <w:tr w14:paraId="73C88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64" w:type="dxa"/>
            <w:vAlign w:val="top"/>
          </w:tcPr>
          <w:p w14:paraId="202CF1EC">
            <w:pPr>
              <w:pStyle w:val="6"/>
              <w:spacing w:before="243" w:line="187" w:lineRule="auto"/>
              <w:ind w:left="396"/>
              <w:rPr>
                <w:sz w:val="20"/>
                <w:szCs w:val="20"/>
              </w:rPr>
            </w:pPr>
            <w:r>
              <w:rPr>
                <w:color w:val="222222"/>
                <w:spacing w:val="-7"/>
                <w:sz w:val="20"/>
                <w:szCs w:val="20"/>
              </w:rPr>
              <w:t>11</w:t>
            </w: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491C5BBF">
            <w:pPr>
              <w:rPr>
                <w:rFonts w:ascii="Arial"/>
                <w:sz w:val="21"/>
              </w:rPr>
            </w:pPr>
          </w:p>
        </w:tc>
        <w:tc>
          <w:tcPr>
            <w:tcW w:w="1836" w:type="dxa"/>
            <w:vAlign w:val="top"/>
          </w:tcPr>
          <w:p w14:paraId="1AFE2ED0">
            <w:pPr>
              <w:pStyle w:val="6"/>
              <w:spacing w:before="52" w:line="234" w:lineRule="auto"/>
              <w:ind w:left="709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"https://openstd.samr.gov.cn/bzgk/gb/javascript:void(0)" </w:instrText>
            </w:r>
            <w:r>
              <w:fldChar w:fldCharType="separate"/>
            </w:r>
            <w:r>
              <w:rPr>
                <w:sz w:val="20"/>
                <w:szCs w:val="20"/>
              </w:rPr>
              <w:t>GB</w:t>
            </w:r>
            <w:r>
              <w:rPr>
                <w:spacing w:val="8"/>
                <w:sz w:val="20"/>
                <w:szCs w:val="20"/>
              </w:rPr>
              <w:t>/T</w:t>
            </w:r>
            <w:r>
              <w:rPr>
                <w:spacing w:val="8"/>
                <w:sz w:val="20"/>
                <w:szCs w:val="20"/>
              </w:rPr>
              <w:fldChar w:fldCharType="end"/>
            </w:r>
          </w:p>
          <w:p w14:paraId="7ADD8C7F">
            <w:pPr>
              <w:pStyle w:val="6"/>
              <w:spacing w:before="94" w:line="186" w:lineRule="auto"/>
              <w:ind w:left="243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38634.2—2020</w:t>
            </w:r>
          </w:p>
        </w:tc>
        <w:tc>
          <w:tcPr>
            <w:tcW w:w="4573" w:type="dxa"/>
            <w:vAlign w:val="top"/>
          </w:tcPr>
          <w:p w14:paraId="77DDA584">
            <w:pPr>
              <w:pStyle w:val="6"/>
              <w:spacing w:before="207" w:line="231" w:lineRule="auto"/>
              <w:ind w:left="126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"https://openstd.samr.gov.cn/bzgk/gb/javascript:void(0)" </w:instrText>
            </w:r>
            <w:r>
              <w:fldChar w:fldCharType="separate"/>
            </w:r>
            <w:r>
              <w:rPr>
                <w:spacing w:val="3"/>
                <w:sz w:val="20"/>
                <w:szCs w:val="20"/>
              </w:rPr>
              <w:t>系统与软件工程 软件测试</w:t>
            </w:r>
            <w:r>
              <w:rPr>
                <w:spacing w:val="36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第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2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部分：测试过程</w:t>
            </w:r>
            <w:r>
              <w:rPr>
                <w:spacing w:val="3"/>
                <w:sz w:val="20"/>
                <w:szCs w:val="20"/>
              </w:rPr>
              <w:fldChar w:fldCharType="end"/>
            </w:r>
          </w:p>
        </w:tc>
      </w:tr>
      <w:tr w14:paraId="51B3FB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64" w:type="dxa"/>
            <w:vAlign w:val="top"/>
          </w:tcPr>
          <w:p w14:paraId="0B2E5476">
            <w:pPr>
              <w:pStyle w:val="6"/>
              <w:spacing w:before="243" w:line="187" w:lineRule="auto"/>
              <w:ind w:left="396"/>
              <w:rPr>
                <w:sz w:val="20"/>
                <w:szCs w:val="20"/>
              </w:rPr>
            </w:pPr>
            <w:r>
              <w:rPr>
                <w:color w:val="222222"/>
                <w:spacing w:val="-7"/>
                <w:sz w:val="20"/>
                <w:szCs w:val="20"/>
              </w:rPr>
              <w:t>12</w:t>
            </w: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0D825CB0">
            <w:pPr>
              <w:rPr>
                <w:rFonts w:ascii="Arial"/>
                <w:sz w:val="21"/>
              </w:rPr>
            </w:pPr>
          </w:p>
        </w:tc>
        <w:tc>
          <w:tcPr>
            <w:tcW w:w="1836" w:type="dxa"/>
            <w:vAlign w:val="top"/>
          </w:tcPr>
          <w:p w14:paraId="59A83123">
            <w:pPr>
              <w:pStyle w:val="6"/>
              <w:spacing w:before="53" w:line="234" w:lineRule="auto"/>
              <w:ind w:left="709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"https://openstd.samr.gov.cn/bzgk/gb/javascript:void(0)" </w:instrText>
            </w:r>
            <w:r>
              <w:fldChar w:fldCharType="separate"/>
            </w:r>
            <w:r>
              <w:rPr>
                <w:sz w:val="20"/>
                <w:szCs w:val="20"/>
              </w:rPr>
              <w:t>GB</w:t>
            </w:r>
            <w:r>
              <w:rPr>
                <w:spacing w:val="8"/>
                <w:sz w:val="20"/>
                <w:szCs w:val="20"/>
              </w:rPr>
              <w:t>/T</w:t>
            </w:r>
            <w:r>
              <w:rPr>
                <w:spacing w:val="8"/>
                <w:sz w:val="20"/>
                <w:szCs w:val="20"/>
              </w:rPr>
              <w:fldChar w:fldCharType="end"/>
            </w:r>
          </w:p>
          <w:p w14:paraId="7C9D0602">
            <w:pPr>
              <w:pStyle w:val="6"/>
              <w:spacing w:before="93" w:line="187" w:lineRule="auto"/>
              <w:ind w:left="243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38634.1—2020</w:t>
            </w:r>
          </w:p>
        </w:tc>
        <w:tc>
          <w:tcPr>
            <w:tcW w:w="4573" w:type="dxa"/>
            <w:vAlign w:val="top"/>
          </w:tcPr>
          <w:p w14:paraId="612C84A7">
            <w:pPr>
              <w:pStyle w:val="6"/>
              <w:spacing w:before="53" w:line="261" w:lineRule="auto"/>
              <w:ind w:left="2192" w:right="109" w:hanging="2066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"https://openstd.samr.gov.cn/bzgk/gb/javascript:void(0)" </w:instrText>
            </w:r>
            <w:r>
              <w:fldChar w:fldCharType="separate"/>
            </w:r>
            <w:r>
              <w:rPr>
                <w:spacing w:val="2"/>
                <w:sz w:val="20"/>
                <w:szCs w:val="20"/>
              </w:rPr>
              <w:t>系统与软件工程 软件测试</w:t>
            </w:r>
            <w:r>
              <w:rPr>
                <w:spacing w:val="44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第</w:t>
            </w:r>
            <w:r>
              <w:rPr>
                <w:spacing w:val="-22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1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部分：概念和定</w:t>
            </w:r>
            <w:r>
              <w:rPr>
                <w:spacing w:val="2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义</w:t>
            </w:r>
          </w:p>
        </w:tc>
      </w:tr>
      <w:tr w14:paraId="5FDC12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64" w:type="dxa"/>
            <w:vAlign w:val="top"/>
          </w:tcPr>
          <w:p w14:paraId="3CB5808E">
            <w:pPr>
              <w:pStyle w:val="6"/>
              <w:spacing w:before="243" w:line="187" w:lineRule="auto"/>
              <w:ind w:left="396"/>
              <w:rPr>
                <w:sz w:val="20"/>
                <w:szCs w:val="20"/>
              </w:rPr>
            </w:pPr>
            <w:r>
              <w:rPr>
                <w:color w:val="222222"/>
                <w:spacing w:val="-7"/>
                <w:sz w:val="20"/>
                <w:szCs w:val="20"/>
              </w:rPr>
              <w:t>13</w:t>
            </w: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0D59F0A9">
            <w:pPr>
              <w:rPr>
                <w:rFonts w:ascii="Arial"/>
                <w:sz w:val="21"/>
              </w:rPr>
            </w:pPr>
          </w:p>
        </w:tc>
        <w:tc>
          <w:tcPr>
            <w:tcW w:w="1836" w:type="dxa"/>
            <w:vAlign w:val="top"/>
          </w:tcPr>
          <w:p w14:paraId="0C4C792D">
            <w:pPr>
              <w:pStyle w:val="6"/>
              <w:spacing w:before="51" w:line="254" w:lineRule="auto"/>
              <w:ind w:left="349" w:right="337" w:firstLine="360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"https://openstd.samr.gov.cn/bzgk/gb/javascript:void(0)" </w:instrText>
            </w:r>
            <w:r>
              <w:fldChar w:fldCharType="separate"/>
            </w:r>
            <w:r>
              <w:rPr>
                <w:sz w:val="20"/>
                <w:szCs w:val="20"/>
              </w:rPr>
              <w:t>GB</w:t>
            </w:r>
            <w:r>
              <w:rPr>
                <w:spacing w:val="8"/>
                <w:sz w:val="20"/>
                <w:szCs w:val="20"/>
              </w:rPr>
              <w:t>/T</w:t>
            </w:r>
            <w:r>
              <w:rPr>
                <w:spacing w:val="8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spacing w:val="4"/>
                <w:sz w:val="20"/>
                <w:szCs w:val="20"/>
              </w:rPr>
              <w:t>32424—2015</w:t>
            </w:r>
          </w:p>
        </w:tc>
        <w:tc>
          <w:tcPr>
            <w:tcW w:w="4573" w:type="dxa"/>
            <w:vAlign w:val="top"/>
          </w:tcPr>
          <w:p w14:paraId="3DA44799">
            <w:pPr>
              <w:pStyle w:val="6"/>
              <w:spacing w:before="53" w:line="259" w:lineRule="auto"/>
              <w:ind w:left="2197" w:right="133" w:hanging="2044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"https://openstd.samr.gov.cn/bzgk/gb/javascript:void(0)" </w:instrText>
            </w:r>
            <w:r>
              <w:fldChar w:fldCharType="separate"/>
            </w:r>
            <w:r>
              <w:rPr>
                <w:spacing w:val="8"/>
                <w:sz w:val="20"/>
                <w:szCs w:val="20"/>
              </w:rPr>
              <w:t>系统与软件工程 用户文档的设计者和开发者要</w:t>
            </w:r>
            <w:r>
              <w:rPr>
                <w:spacing w:val="8"/>
                <w:sz w:val="20"/>
                <w:szCs w:val="20"/>
              </w:rPr>
              <w:fldChar w:fldCharType="end"/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求</w:t>
            </w:r>
          </w:p>
        </w:tc>
      </w:tr>
      <w:tr w14:paraId="3FF58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64" w:type="dxa"/>
            <w:vAlign w:val="top"/>
          </w:tcPr>
          <w:p w14:paraId="33CC0213">
            <w:pPr>
              <w:pStyle w:val="6"/>
              <w:spacing w:before="246" w:line="187" w:lineRule="auto"/>
              <w:ind w:left="396"/>
              <w:rPr>
                <w:sz w:val="20"/>
                <w:szCs w:val="20"/>
              </w:rPr>
            </w:pPr>
            <w:r>
              <w:rPr>
                <w:color w:val="222222"/>
                <w:spacing w:val="-7"/>
                <w:sz w:val="20"/>
                <w:szCs w:val="20"/>
              </w:rPr>
              <w:t>14</w:t>
            </w: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5332759A">
            <w:pPr>
              <w:rPr>
                <w:rFonts w:ascii="Arial"/>
                <w:sz w:val="21"/>
              </w:rPr>
            </w:pPr>
          </w:p>
        </w:tc>
        <w:tc>
          <w:tcPr>
            <w:tcW w:w="1836" w:type="dxa"/>
            <w:vAlign w:val="top"/>
          </w:tcPr>
          <w:p w14:paraId="7BE96710">
            <w:pPr>
              <w:pStyle w:val="6"/>
              <w:spacing w:before="54" w:line="254" w:lineRule="auto"/>
              <w:ind w:left="349" w:right="337" w:firstLine="360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"https://openstd.samr.gov.cn/bzgk/gb/javascript:void(0)" </w:instrText>
            </w:r>
            <w:r>
              <w:fldChar w:fldCharType="separate"/>
            </w:r>
            <w:r>
              <w:rPr>
                <w:sz w:val="20"/>
                <w:szCs w:val="20"/>
              </w:rPr>
              <w:t>GB</w:t>
            </w:r>
            <w:r>
              <w:rPr>
                <w:spacing w:val="8"/>
                <w:sz w:val="20"/>
                <w:szCs w:val="20"/>
              </w:rPr>
              <w:t>/T</w:t>
            </w:r>
            <w:r>
              <w:rPr>
                <w:spacing w:val="8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spacing w:val="4"/>
                <w:sz w:val="20"/>
                <w:szCs w:val="20"/>
              </w:rPr>
              <w:t>30999—2014</w:t>
            </w:r>
          </w:p>
        </w:tc>
        <w:tc>
          <w:tcPr>
            <w:tcW w:w="4573" w:type="dxa"/>
            <w:vAlign w:val="top"/>
          </w:tcPr>
          <w:p w14:paraId="6FBA4E6C">
            <w:pPr>
              <w:pStyle w:val="6"/>
              <w:spacing w:before="211" w:line="228" w:lineRule="auto"/>
              <w:ind w:left="203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"https://openstd.samr.gov.cn/bzgk/gb/javascript:void(0)" </w:instrText>
            </w:r>
            <w:r>
              <w:fldChar w:fldCharType="separate"/>
            </w:r>
            <w:r>
              <w:rPr>
                <w:spacing w:val="7"/>
                <w:sz w:val="20"/>
                <w:szCs w:val="20"/>
              </w:rPr>
              <w:t>系统和软件工程</w:t>
            </w:r>
            <w:r>
              <w:rPr>
                <w:spacing w:val="34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生存周期管理 过程描述指南</w:t>
            </w:r>
            <w:r>
              <w:rPr>
                <w:spacing w:val="7"/>
                <w:sz w:val="20"/>
                <w:szCs w:val="20"/>
              </w:rPr>
              <w:fldChar w:fldCharType="end"/>
            </w:r>
          </w:p>
        </w:tc>
      </w:tr>
      <w:tr w14:paraId="7474B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64" w:type="dxa"/>
            <w:vAlign w:val="top"/>
          </w:tcPr>
          <w:p w14:paraId="794FC294">
            <w:pPr>
              <w:pStyle w:val="6"/>
              <w:spacing w:before="245" w:line="187" w:lineRule="auto"/>
              <w:ind w:left="396"/>
              <w:rPr>
                <w:sz w:val="20"/>
                <w:szCs w:val="20"/>
              </w:rPr>
            </w:pPr>
            <w:r>
              <w:rPr>
                <w:color w:val="222222"/>
                <w:spacing w:val="-7"/>
                <w:sz w:val="20"/>
                <w:szCs w:val="20"/>
              </w:rPr>
              <w:t>15</w:t>
            </w: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1E8D3186">
            <w:pPr>
              <w:rPr>
                <w:rFonts w:ascii="Arial"/>
                <w:sz w:val="21"/>
              </w:rPr>
            </w:pPr>
          </w:p>
        </w:tc>
        <w:tc>
          <w:tcPr>
            <w:tcW w:w="1836" w:type="dxa"/>
            <w:vAlign w:val="top"/>
          </w:tcPr>
          <w:p w14:paraId="43B37DBE">
            <w:pPr>
              <w:pStyle w:val="6"/>
              <w:spacing w:before="54" w:line="254" w:lineRule="auto"/>
              <w:ind w:left="349" w:right="337" w:firstLine="360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"https://openstd.samr.gov.cn/bzgk/gb/javascript:void(0)" </w:instrText>
            </w:r>
            <w:r>
              <w:fldChar w:fldCharType="separate"/>
            </w:r>
            <w:r>
              <w:rPr>
                <w:sz w:val="20"/>
                <w:szCs w:val="20"/>
              </w:rPr>
              <w:t>GB</w:t>
            </w:r>
            <w:r>
              <w:rPr>
                <w:spacing w:val="8"/>
                <w:sz w:val="20"/>
                <w:szCs w:val="20"/>
              </w:rPr>
              <w:t>/T</w:t>
            </w:r>
            <w:r>
              <w:rPr>
                <w:spacing w:val="8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spacing w:val="4"/>
                <w:sz w:val="20"/>
                <w:szCs w:val="20"/>
              </w:rPr>
              <w:t>30971—2014</w:t>
            </w:r>
          </w:p>
        </w:tc>
        <w:tc>
          <w:tcPr>
            <w:tcW w:w="4573" w:type="dxa"/>
            <w:vAlign w:val="top"/>
          </w:tcPr>
          <w:p w14:paraId="0C9FF313">
            <w:pPr>
              <w:pStyle w:val="6"/>
              <w:spacing w:before="54" w:line="258" w:lineRule="auto"/>
              <w:ind w:left="1247" w:right="109" w:hanging="1128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"https://openstd.samr.gov.cn/bzgk/gb/javascript:void(0)" </w:instrText>
            </w:r>
            <w:r>
              <w:fldChar w:fldCharType="separate"/>
            </w:r>
            <w:r>
              <w:rPr>
                <w:spacing w:val="4"/>
                <w:sz w:val="20"/>
                <w:szCs w:val="20"/>
              </w:rPr>
              <w:t>软件工程 用于互联网的推荐实践</w:t>
            </w:r>
            <w:r>
              <w:rPr>
                <w:spacing w:val="54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网站工程、网</w:t>
            </w:r>
            <w:r>
              <w:rPr>
                <w:spacing w:val="4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站管理和网站生存周期</w:t>
            </w:r>
          </w:p>
        </w:tc>
      </w:tr>
      <w:tr w14:paraId="460C8B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64" w:type="dxa"/>
            <w:vAlign w:val="top"/>
          </w:tcPr>
          <w:p w14:paraId="212568EB">
            <w:pPr>
              <w:pStyle w:val="6"/>
              <w:spacing w:before="245" w:line="187" w:lineRule="auto"/>
              <w:ind w:left="396"/>
              <w:rPr>
                <w:sz w:val="20"/>
                <w:szCs w:val="20"/>
              </w:rPr>
            </w:pPr>
            <w:r>
              <w:rPr>
                <w:color w:val="222222"/>
                <w:spacing w:val="-7"/>
                <w:sz w:val="20"/>
                <w:szCs w:val="20"/>
              </w:rPr>
              <w:t>16</w:t>
            </w: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0C6F7F4F">
            <w:pPr>
              <w:rPr>
                <w:rFonts w:ascii="Arial"/>
                <w:sz w:val="21"/>
              </w:rPr>
            </w:pPr>
          </w:p>
        </w:tc>
        <w:tc>
          <w:tcPr>
            <w:tcW w:w="1836" w:type="dxa"/>
            <w:vAlign w:val="top"/>
          </w:tcPr>
          <w:p w14:paraId="128AD67B">
            <w:pPr>
              <w:pStyle w:val="6"/>
              <w:spacing w:before="53" w:line="254" w:lineRule="auto"/>
              <w:ind w:left="347" w:right="337" w:firstLine="362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"https://openstd.samr.gov.cn/bzgk/gb/javascript:void(0)" </w:instrText>
            </w:r>
            <w:r>
              <w:fldChar w:fldCharType="separate"/>
            </w:r>
            <w:r>
              <w:rPr>
                <w:sz w:val="20"/>
                <w:szCs w:val="20"/>
              </w:rPr>
              <w:t>GB</w:t>
            </w:r>
            <w:r>
              <w:rPr>
                <w:spacing w:val="8"/>
                <w:sz w:val="20"/>
                <w:szCs w:val="20"/>
              </w:rPr>
              <w:t>/T</w:t>
            </w:r>
            <w:r>
              <w:rPr>
                <w:spacing w:val="8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spacing w:val="4"/>
                <w:sz w:val="20"/>
                <w:szCs w:val="20"/>
              </w:rPr>
              <w:t>26239—2010</w:t>
            </w:r>
          </w:p>
        </w:tc>
        <w:tc>
          <w:tcPr>
            <w:tcW w:w="4573" w:type="dxa"/>
            <w:vAlign w:val="top"/>
          </w:tcPr>
          <w:p w14:paraId="7C4F7B06">
            <w:pPr>
              <w:pStyle w:val="6"/>
              <w:spacing w:before="210" w:line="231" w:lineRule="auto"/>
              <w:ind w:left="1091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"https://openstd.samr.gov.cn/bzgk/gb/javascript:void(0)" </w:instrText>
            </w:r>
            <w:r>
              <w:fldChar w:fldCharType="separate"/>
            </w:r>
            <w:r>
              <w:rPr>
                <w:spacing w:val="8"/>
                <w:sz w:val="20"/>
                <w:szCs w:val="20"/>
              </w:rPr>
              <w:t>软件工程 开发方法元模型</w:t>
            </w:r>
            <w:r>
              <w:rPr>
                <w:spacing w:val="8"/>
                <w:sz w:val="20"/>
                <w:szCs w:val="20"/>
              </w:rPr>
              <w:fldChar w:fldCharType="end"/>
            </w:r>
          </w:p>
        </w:tc>
      </w:tr>
      <w:tr w14:paraId="4C453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64" w:type="dxa"/>
            <w:vAlign w:val="top"/>
          </w:tcPr>
          <w:p w14:paraId="1AF5AF63">
            <w:pPr>
              <w:pStyle w:val="6"/>
              <w:spacing w:before="246" w:line="187" w:lineRule="auto"/>
              <w:ind w:left="396"/>
              <w:rPr>
                <w:sz w:val="20"/>
                <w:szCs w:val="20"/>
              </w:rPr>
            </w:pPr>
            <w:r>
              <w:rPr>
                <w:color w:val="222222"/>
                <w:spacing w:val="-7"/>
                <w:sz w:val="20"/>
                <w:szCs w:val="20"/>
              </w:rPr>
              <w:t>17</w:t>
            </w: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64ED7C36">
            <w:pPr>
              <w:rPr>
                <w:rFonts w:ascii="Arial"/>
                <w:sz w:val="21"/>
              </w:rPr>
            </w:pPr>
          </w:p>
        </w:tc>
        <w:tc>
          <w:tcPr>
            <w:tcW w:w="1836" w:type="dxa"/>
            <w:vAlign w:val="top"/>
          </w:tcPr>
          <w:p w14:paraId="48D02AFC">
            <w:pPr>
              <w:pStyle w:val="6"/>
              <w:spacing w:before="54" w:line="254" w:lineRule="auto"/>
              <w:ind w:left="347" w:right="337" w:firstLine="362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"https://openstd.samr.gov.cn/bzgk/gb/javascript:void(0)" </w:instrText>
            </w:r>
            <w:r>
              <w:fldChar w:fldCharType="separate"/>
            </w:r>
            <w:r>
              <w:rPr>
                <w:sz w:val="20"/>
                <w:szCs w:val="20"/>
              </w:rPr>
              <w:t>GB</w:t>
            </w:r>
            <w:r>
              <w:rPr>
                <w:spacing w:val="8"/>
                <w:sz w:val="20"/>
                <w:szCs w:val="20"/>
              </w:rPr>
              <w:t>/T</w:t>
            </w:r>
            <w:r>
              <w:rPr>
                <w:spacing w:val="8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spacing w:val="4"/>
                <w:sz w:val="20"/>
                <w:szCs w:val="20"/>
              </w:rPr>
              <w:t>22032—2021</w:t>
            </w:r>
          </w:p>
        </w:tc>
        <w:tc>
          <w:tcPr>
            <w:tcW w:w="4573" w:type="dxa"/>
            <w:vAlign w:val="top"/>
          </w:tcPr>
          <w:p w14:paraId="0B108CB7">
            <w:pPr>
              <w:pStyle w:val="6"/>
              <w:spacing w:before="210" w:line="228" w:lineRule="auto"/>
              <w:ind w:left="678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"https://openstd.samr.gov.cn/bzgk/gb/javascript:void(0)" </w:instrText>
            </w:r>
            <w:r>
              <w:fldChar w:fldCharType="separate"/>
            </w:r>
            <w:r>
              <w:rPr>
                <w:spacing w:val="8"/>
                <w:sz w:val="20"/>
                <w:szCs w:val="20"/>
              </w:rPr>
              <w:t>系统与软件工程 系统生存周期过程</w:t>
            </w:r>
            <w:r>
              <w:rPr>
                <w:spacing w:val="8"/>
                <w:sz w:val="20"/>
                <w:szCs w:val="20"/>
              </w:rPr>
              <w:fldChar w:fldCharType="end"/>
            </w:r>
          </w:p>
        </w:tc>
      </w:tr>
      <w:tr w14:paraId="72D425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64" w:type="dxa"/>
            <w:vAlign w:val="top"/>
          </w:tcPr>
          <w:p w14:paraId="0BE34FE7">
            <w:pPr>
              <w:pStyle w:val="6"/>
              <w:spacing w:before="245" w:line="187" w:lineRule="auto"/>
              <w:ind w:left="396"/>
              <w:rPr>
                <w:sz w:val="20"/>
                <w:szCs w:val="20"/>
              </w:rPr>
            </w:pPr>
            <w:r>
              <w:rPr>
                <w:color w:val="222222"/>
                <w:spacing w:val="-7"/>
                <w:sz w:val="20"/>
                <w:szCs w:val="20"/>
              </w:rPr>
              <w:t>18</w:t>
            </w: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613F5986">
            <w:pPr>
              <w:rPr>
                <w:rFonts w:ascii="Arial"/>
                <w:sz w:val="21"/>
              </w:rPr>
            </w:pPr>
          </w:p>
        </w:tc>
        <w:tc>
          <w:tcPr>
            <w:tcW w:w="1836" w:type="dxa"/>
            <w:vAlign w:val="top"/>
          </w:tcPr>
          <w:p w14:paraId="389FC76A">
            <w:pPr>
              <w:pStyle w:val="6"/>
              <w:spacing w:before="53" w:line="254" w:lineRule="auto"/>
              <w:ind w:left="360" w:right="337" w:firstLine="349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"https://openstd.samr.gov.cn/bzgk/gb/javascript:void(0)" </w:instrText>
            </w:r>
            <w:r>
              <w:fldChar w:fldCharType="separate"/>
            </w:r>
            <w:r>
              <w:rPr>
                <w:sz w:val="20"/>
                <w:szCs w:val="20"/>
              </w:rPr>
              <w:t>GB</w:t>
            </w:r>
            <w:r>
              <w:rPr>
                <w:spacing w:val="8"/>
                <w:sz w:val="20"/>
                <w:szCs w:val="20"/>
              </w:rPr>
              <w:t>/T</w:t>
            </w:r>
            <w:r>
              <w:rPr>
                <w:spacing w:val="8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spacing w:val="3"/>
                <w:sz w:val="20"/>
                <w:szCs w:val="20"/>
              </w:rPr>
              <w:t>19003—2008</w:t>
            </w:r>
          </w:p>
        </w:tc>
        <w:tc>
          <w:tcPr>
            <w:tcW w:w="4573" w:type="dxa"/>
            <w:vAlign w:val="top"/>
          </w:tcPr>
          <w:p w14:paraId="0D935C02">
            <w:pPr>
              <w:pStyle w:val="6"/>
              <w:spacing w:before="54" w:line="260" w:lineRule="auto"/>
              <w:ind w:left="1992" w:right="109" w:hanging="1873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"https://openstd.samr.gov.cn/bzgk/gb/javascript:void(0)" </w:instrText>
            </w:r>
            <w:r>
              <w:fldChar w:fldCharType="separate"/>
            </w:r>
            <w:r>
              <w:rPr>
                <w:spacing w:val="6"/>
                <w:sz w:val="20"/>
                <w:szCs w:val="20"/>
              </w:rPr>
              <w:t xml:space="preserve">软件工程 </w:t>
            </w:r>
            <w:r>
              <w:rPr>
                <w:sz w:val="20"/>
                <w:szCs w:val="20"/>
              </w:rPr>
              <w:t>GB</w:t>
            </w:r>
            <w:r>
              <w:rPr>
                <w:spacing w:val="6"/>
                <w:sz w:val="20"/>
                <w:szCs w:val="20"/>
              </w:rPr>
              <w:t>/T 19001—2000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应用于计算机软件</w:t>
            </w:r>
            <w:r>
              <w:rPr>
                <w:spacing w:val="6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的指南</w:t>
            </w:r>
          </w:p>
        </w:tc>
      </w:tr>
      <w:tr w14:paraId="7A3AB1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64" w:type="dxa"/>
            <w:vAlign w:val="top"/>
          </w:tcPr>
          <w:p w14:paraId="59EF4DDF">
            <w:pPr>
              <w:pStyle w:val="6"/>
              <w:spacing w:before="245" w:line="187" w:lineRule="auto"/>
              <w:ind w:left="396"/>
              <w:rPr>
                <w:sz w:val="20"/>
                <w:szCs w:val="20"/>
              </w:rPr>
            </w:pPr>
            <w:r>
              <w:rPr>
                <w:color w:val="222222"/>
                <w:spacing w:val="-7"/>
                <w:sz w:val="20"/>
                <w:szCs w:val="20"/>
              </w:rPr>
              <w:t>19</w:t>
            </w: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427C4294">
            <w:pPr>
              <w:rPr>
                <w:rFonts w:ascii="Arial"/>
                <w:sz w:val="21"/>
              </w:rPr>
            </w:pPr>
          </w:p>
        </w:tc>
        <w:tc>
          <w:tcPr>
            <w:tcW w:w="1836" w:type="dxa"/>
            <w:vAlign w:val="top"/>
          </w:tcPr>
          <w:p w14:paraId="69344CCB">
            <w:pPr>
              <w:pStyle w:val="6"/>
              <w:spacing w:before="53" w:line="254" w:lineRule="auto"/>
              <w:ind w:left="360" w:right="337" w:firstLine="349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"https://openstd.samr.gov.cn/bzgk/gb/javascript:void(0)" </w:instrText>
            </w:r>
            <w:r>
              <w:fldChar w:fldCharType="separate"/>
            </w:r>
            <w:r>
              <w:rPr>
                <w:sz w:val="20"/>
                <w:szCs w:val="20"/>
              </w:rPr>
              <w:t>GB</w:t>
            </w:r>
            <w:r>
              <w:rPr>
                <w:spacing w:val="8"/>
                <w:sz w:val="20"/>
                <w:szCs w:val="20"/>
              </w:rPr>
              <w:t>/T</w:t>
            </w:r>
            <w:r>
              <w:rPr>
                <w:spacing w:val="8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spacing w:val="3"/>
                <w:sz w:val="20"/>
                <w:szCs w:val="20"/>
              </w:rPr>
              <w:t>11457—2006</w:t>
            </w:r>
          </w:p>
        </w:tc>
        <w:tc>
          <w:tcPr>
            <w:tcW w:w="4573" w:type="dxa"/>
            <w:vAlign w:val="top"/>
          </w:tcPr>
          <w:p w14:paraId="24EBB9D6">
            <w:pPr>
              <w:pStyle w:val="6"/>
              <w:spacing w:before="210" w:line="230" w:lineRule="auto"/>
              <w:ind w:left="1193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"https://openstd.samr.gov.cn/bzgk/gb/javascript:void(0)" </w:instrText>
            </w:r>
            <w:r>
              <w:fldChar w:fldCharType="separate"/>
            </w:r>
            <w:r>
              <w:rPr>
                <w:spacing w:val="6"/>
                <w:sz w:val="20"/>
                <w:szCs w:val="20"/>
              </w:rPr>
              <w:t>信息技术</w:t>
            </w:r>
            <w:r>
              <w:rPr>
                <w:spacing w:val="28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软件工程术语</w:t>
            </w:r>
            <w:r>
              <w:rPr>
                <w:spacing w:val="6"/>
                <w:sz w:val="20"/>
                <w:szCs w:val="20"/>
              </w:rPr>
              <w:fldChar w:fldCharType="end"/>
            </w:r>
          </w:p>
        </w:tc>
      </w:tr>
      <w:tr w14:paraId="774A21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64" w:type="dxa"/>
            <w:vAlign w:val="top"/>
          </w:tcPr>
          <w:p w14:paraId="7DE33546">
            <w:pPr>
              <w:pStyle w:val="6"/>
              <w:spacing w:before="249" w:line="186" w:lineRule="auto"/>
              <w:ind w:left="384"/>
              <w:rPr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20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3E84EFCB">
            <w:pPr>
              <w:spacing w:line="258" w:lineRule="auto"/>
              <w:rPr>
                <w:rFonts w:ascii="Arial"/>
                <w:sz w:val="21"/>
              </w:rPr>
            </w:pPr>
          </w:p>
          <w:p w14:paraId="39098507">
            <w:pPr>
              <w:spacing w:line="259" w:lineRule="auto"/>
              <w:rPr>
                <w:rFonts w:ascii="Arial"/>
                <w:sz w:val="21"/>
              </w:rPr>
            </w:pPr>
          </w:p>
          <w:p w14:paraId="644E115F">
            <w:pPr>
              <w:spacing w:line="259" w:lineRule="auto"/>
              <w:rPr>
                <w:rFonts w:ascii="Arial"/>
                <w:sz w:val="21"/>
              </w:rPr>
            </w:pPr>
          </w:p>
          <w:p w14:paraId="07DC3C7E">
            <w:pPr>
              <w:pStyle w:val="6"/>
              <w:spacing w:before="65" w:line="231" w:lineRule="auto"/>
              <w:ind w:left="331"/>
              <w:rPr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团体标准</w:t>
            </w:r>
          </w:p>
        </w:tc>
        <w:tc>
          <w:tcPr>
            <w:tcW w:w="1836" w:type="dxa"/>
            <w:vAlign w:val="top"/>
          </w:tcPr>
          <w:p w14:paraId="4BF03655">
            <w:pPr>
              <w:pStyle w:val="6"/>
              <w:spacing w:before="56" w:line="254" w:lineRule="auto"/>
              <w:ind w:left="713" w:right="233" w:hanging="477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T/</w:t>
            </w:r>
            <w:r>
              <w:rPr>
                <w:sz w:val="20"/>
                <w:szCs w:val="20"/>
              </w:rPr>
              <w:t>CESA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1154—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2021</w:t>
            </w:r>
          </w:p>
        </w:tc>
        <w:tc>
          <w:tcPr>
            <w:tcW w:w="4573" w:type="dxa"/>
            <w:vAlign w:val="top"/>
          </w:tcPr>
          <w:p w14:paraId="6E5C7CED">
            <w:pPr>
              <w:pStyle w:val="6"/>
              <w:spacing w:before="57" w:line="259" w:lineRule="auto"/>
              <w:ind w:left="1875" w:right="186" w:hanging="1680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信息技术服务 从业人员能力评价指南 设计与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开发服务</w:t>
            </w:r>
          </w:p>
        </w:tc>
      </w:tr>
      <w:tr w14:paraId="129FA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64" w:type="dxa"/>
            <w:vAlign w:val="top"/>
          </w:tcPr>
          <w:p w14:paraId="6041F4D7">
            <w:pPr>
              <w:pStyle w:val="6"/>
              <w:spacing w:before="247" w:line="187" w:lineRule="auto"/>
              <w:ind w:left="384"/>
              <w:rPr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21</w:t>
            </w: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6012426D">
            <w:pPr>
              <w:rPr>
                <w:rFonts w:ascii="Arial"/>
                <w:sz w:val="21"/>
              </w:rPr>
            </w:pPr>
          </w:p>
        </w:tc>
        <w:tc>
          <w:tcPr>
            <w:tcW w:w="1836" w:type="dxa"/>
            <w:vAlign w:val="top"/>
          </w:tcPr>
          <w:p w14:paraId="0090FF65">
            <w:pPr>
              <w:pStyle w:val="6"/>
              <w:spacing w:before="56" w:line="254" w:lineRule="auto"/>
              <w:ind w:left="713" w:right="233" w:hanging="477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T/</w:t>
            </w:r>
            <w:r>
              <w:rPr>
                <w:sz w:val="20"/>
                <w:szCs w:val="20"/>
              </w:rPr>
              <w:t>CESA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1155—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2021</w:t>
            </w:r>
          </w:p>
        </w:tc>
        <w:tc>
          <w:tcPr>
            <w:tcW w:w="4573" w:type="dxa"/>
            <w:vAlign w:val="top"/>
          </w:tcPr>
          <w:p w14:paraId="1934CFD7">
            <w:pPr>
              <w:pStyle w:val="6"/>
              <w:spacing w:before="57" w:line="259" w:lineRule="auto"/>
              <w:ind w:left="1979" w:right="186" w:hanging="1784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信息技术服务 从业人员能力评价指南 集成实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施服务</w:t>
            </w:r>
          </w:p>
        </w:tc>
      </w:tr>
      <w:tr w14:paraId="54BAD3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64" w:type="dxa"/>
            <w:vAlign w:val="top"/>
          </w:tcPr>
          <w:p w14:paraId="60CCBFA3">
            <w:pPr>
              <w:pStyle w:val="6"/>
              <w:spacing w:before="248" w:line="186" w:lineRule="auto"/>
              <w:ind w:left="384"/>
              <w:rPr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22</w:t>
            </w: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17F4FEB4">
            <w:pPr>
              <w:rPr>
                <w:rFonts w:ascii="Arial"/>
                <w:sz w:val="21"/>
              </w:rPr>
            </w:pPr>
          </w:p>
        </w:tc>
        <w:tc>
          <w:tcPr>
            <w:tcW w:w="1836" w:type="dxa"/>
            <w:vAlign w:val="top"/>
          </w:tcPr>
          <w:p w14:paraId="50C1DBA7">
            <w:pPr>
              <w:pStyle w:val="6"/>
              <w:spacing w:before="55" w:line="254" w:lineRule="auto"/>
              <w:ind w:left="713" w:right="233" w:hanging="477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T/</w:t>
            </w:r>
            <w:r>
              <w:rPr>
                <w:sz w:val="20"/>
                <w:szCs w:val="20"/>
              </w:rPr>
              <w:t>CESA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1156—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2021</w:t>
            </w:r>
          </w:p>
        </w:tc>
        <w:tc>
          <w:tcPr>
            <w:tcW w:w="4573" w:type="dxa"/>
            <w:vAlign w:val="top"/>
          </w:tcPr>
          <w:p w14:paraId="070C6885">
            <w:pPr>
              <w:pStyle w:val="6"/>
              <w:spacing w:before="57" w:line="259" w:lineRule="auto"/>
              <w:ind w:left="1979" w:right="186" w:hanging="1784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信息技术服务 从业人员能力评价指南</w:t>
            </w:r>
            <w:r>
              <w:rPr>
                <w:spacing w:val="25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运行维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护服务</w:t>
            </w:r>
          </w:p>
        </w:tc>
      </w:tr>
      <w:tr w14:paraId="65498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64" w:type="dxa"/>
            <w:vAlign w:val="top"/>
          </w:tcPr>
          <w:p w14:paraId="5711DFDA">
            <w:pPr>
              <w:pStyle w:val="6"/>
              <w:spacing w:before="92" w:line="186" w:lineRule="auto"/>
              <w:ind w:left="384"/>
              <w:rPr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23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5B058C2F">
            <w:pPr>
              <w:spacing w:line="471" w:lineRule="auto"/>
              <w:rPr>
                <w:rFonts w:ascii="Arial"/>
                <w:sz w:val="21"/>
              </w:rPr>
            </w:pPr>
          </w:p>
          <w:p w14:paraId="5653086C">
            <w:pPr>
              <w:pStyle w:val="6"/>
              <w:spacing w:before="65" w:line="259" w:lineRule="auto"/>
              <w:ind w:left="626" w:right="194" w:hanging="423"/>
              <w:rPr>
                <w:sz w:val="20"/>
                <w:szCs w:val="20"/>
              </w:rPr>
            </w:pPr>
            <w:r>
              <w:rPr>
                <w:color w:val="222222"/>
                <w:spacing w:val="7"/>
                <w:sz w:val="20"/>
                <w:szCs w:val="20"/>
              </w:rPr>
              <w:t>职业技能标</w:t>
            </w:r>
            <w:r>
              <w:rPr>
                <w:color w:val="222222"/>
                <w:sz w:val="20"/>
                <w:szCs w:val="20"/>
              </w:rPr>
              <w:t xml:space="preserve"> 准</w:t>
            </w:r>
          </w:p>
        </w:tc>
        <w:tc>
          <w:tcPr>
            <w:tcW w:w="1836" w:type="dxa"/>
            <w:vAlign w:val="top"/>
          </w:tcPr>
          <w:p w14:paraId="2951CF17">
            <w:pPr>
              <w:rPr>
                <w:rFonts w:ascii="Arial"/>
                <w:sz w:val="21"/>
              </w:rPr>
            </w:pPr>
          </w:p>
        </w:tc>
        <w:tc>
          <w:tcPr>
            <w:tcW w:w="4573" w:type="dxa"/>
            <w:vAlign w:val="top"/>
          </w:tcPr>
          <w:p w14:paraId="1B341660">
            <w:pPr>
              <w:pStyle w:val="6"/>
              <w:spacing w:before="56" w:line="230" w:lineRule="auto"/>
              <w:ind w:left="5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Java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Web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应用开发职业技能等级证书</w:t>
            </w:r>
          </w:p>
        </w:tc>
      </w:tr>
      <w:tr w14:paraId="7D6BE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64" w:type="dxa"/>
            <w:vAlign w:val="top"/>
          </w:tcPr>
          <w:p w14:paraId="292049E3">
            <w:pPr>
              <w:pStyle w:val="6"/>
              <w:spacing w:before="91" w:line="186" w:lineRule="auto"/>
              <w:ind w:left="384"/>
              <w:rPr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24</w:t>
            </w: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2BE90ADC">
            <w:pPr>
              <w:rPr>
                <w:rFonts w:ascii="Arial"/>
                <w:sz w:val="21"/>
              </w:rPr>
            </w:pPr>
          </w:p>
        </w:tc>
        <w:tc>
          <w:tcPr>
            <w:tcW w:w="1836" w:type="dxa"/>
            <w:vAlign w:val="top"/>
          </w:tcPr>
          <w:p w14:paraId="324F34ED">
            <w:pPr>
              <w:rPr>
                <w:rFonts w:ascii="Arial"/>
                <w:sz w:val="21"/>
              </w:rPr>
            </w:pPr>
          </w:p>
        </w:tc>
        <w:tc>
          <w:tcPr>
            <w:tcW w:w="4573" w:type="dxa"/>
            <w:vAlign w:val="top"/>
          </w:tcPr>
          <w:p w14:paraId="3D6C3D52">
            <w:pPr>
              <w:pStyle w:val="6"/>
              <w:spacing w:before="55" w:line="230" w:lineRule="auto"/>
              <w:ind w:left="826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移动应用开发职业技能等级证书</w:t>
            </w:r>
          </w:p>
        </w:tc>
      </w:tr>
      <w:tr w14:paraId="30C8AE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64" w:type="dxa"/>
            <w:vAlign w:val="top"/>
          </w:tcPr>
          <w:p w14:paraId="68637128">
            <w:pPr>
              <w:pStyle w:val="6"/>
              <w:spacing w:before="91" w:line="186" w:lineRule="auto"/>
              <w:ind w:left="384"/>
              <w:rPr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25</w:t>
            </w: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6547C766">
            <w:pPr>
              <w:rPr>
                <w:rFonts w:ascii="Arial"/>
                <w:sz w:val="21"/>
              </w:rPr>
            </w:pPr>
          </w:p>
        </w:tc>
        <w:tc>
          <w:tcPr>
            <w:tcW w:w="1836" w:type="dxa"/>
            <w:vAlign w:val="top"/>
          </w:tcPr>
          <w:p w14:paraId="5A808466">
            <w:pPr>
              <w:rPr>
                <w:rFonts w:ascii="Arial"/>
                <w:sz w:val="21"/>
              </w:rPr>
            </w:pPr>
          </w:p>
        </w:tc>
        <w:tc>
          <w:tcPr>
            <w:tcW w:w="4573" w:type="dxa"/>
            <w:vAlign w:val="top"/>
          </w:tcPr>
          <w:p w14:paraId="2EFCFAB2">
            <w:pPr>
              <w:pStyle w:val="6"/>
              <w:spacing w:before="55" w:line="230" w:lineRule="auto"/>
              <w:ind w:left="726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互联网软件测试职业技能等级证书</w:t>
            </w:r>
          </w:p>
        </w:tc>
      </w:tr>
      <w:tr w14:paraId="1A5E5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64" w:type="dxa"/>
            <w:vAlign w:val="top"/>
          </w:tcPr>
          <w:p w14:paraId="5B038938">
            <w:pPr>
              <w:pStyle w:val="6"/>
              <w:spacing w:before="249" w:line="186" w:lineRule="auto"/>
              <w:ind w:left="384"/>
              <w:rPr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26</w:t>
            </w: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017668BF">
            <w:pPr>
              <w:rPr>
                <w:rFonts w:ascii="Arial"/>
                <w:sz w:val="21"/>
              </w:rPr>
            </w:pPr>
          </w:p>
        </w:tc>
        <w:tc>
          <w:tcPr>
            <w:tcW w:w="1836" w:type="dxa"/>
            <w:vAlign w:val="top"/>
          </w:tcPr>
          <w:p w14:paraId="7ACFC50E">
            <w:pPr>
              <w:pStyle w:val="6"/>
              <w:spacing w:before="58" w:line="259" w:lineRule="auto"/>
              <w:ind w:left="273" w:right="182" w:hanging="57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国家职业技能标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准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4-04-05-01</w:t>
            </w:r>
          </w:p>
        </w:tc>
        <w:tc>
          <w:tcPr>
            <w:tcW w:w="4573" w:type="dxa"/>
            <w:vAlign w:val="top"/>
          </w:tcPr>
          <w:p w14:paraId="5A14269D">
            <w:pPr>
              <w:pStyle w:val="6"/>
              <w:spacing w:before="213" w:line="230" w:lineRule="auto"/>
              <w:ind w:left="1455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计算机程序设计员</w:t>
            </w:r>
          </w:p>
        </w:tc>
      </w:tr>
    </w:tbl>
    <w:p w14:paraId="33744C7C">
      <w:pPr>
        <w:spacing w:before="209" w:line="222" w:lineRule="auto"/>
        <w:ind w:left="68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八、技术环境</w:t>
      </w:r>
    </w:p>
    <w:p w14:paraId="0567963A">
      <w:pPr>
        <w:pStyle w:val="2"/>
        <w:spacing w:before="222" w:line="223" w:lineRule="auto"/>
        <w:ind w:left="691"/>
      </w:pPr>
      <w:r>
        <w:rPr>
          <w:spacing w:val="-2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（一）竞赛环境</w:t>
      </w:r>
    </w:p>
    <w:p w14:paraId="7943E3D9">
      <w:pPr>
        <w:pStyle w:val="2"/>
        <w:spacing w:before="220" w:line="562" w:lineRule="exact"/>
        <w:ind w:left="702"/>
      </w:pPr>
      <w:r>
        <w:rPr>
          <w:spacing w:val="-9"/>
          <w:position w:val="21"/>
        </w:rPr>
        <w:t>1.竞赛场地。现场保证良好的采光、照明和通风，提供稳定的水、</w:t>
      </w:r>
    </w:p>
    <w:p w14:paraId="5DF72E59">
      <w:pPr>
        <w:pStyle w:val="2"/>
        <w:spacing w:before="1" w:line="220" w:lineRule="auto"/>
        <w:ind w:left="162"/>
      </w:pPr>
      <w:r>
        <w:rPr>
          <w:spacing w:val="-3"/>
        </w:rPr>
        <w:t>电和供电应急设备，同时提供指导教师休息场所。</w:t>
      </w:r>
    </w:p>
    <w:p w14:paraId="7DE00C06">
      <w:pPr>
        <w:pStyle w:val="2"/>
        <w:spacing w:before="223" w:line="222" w:lineRule="auto"/>
        <w:ind w:left="685"/>
      </w:pPr>
      <w:r>
        <w:rPr>
          <w:spacing w:val="-4"/>
        </w:rPr>
        <w:t>2.竞赛设备。所有竞赛设备由承办院校负责提供和保障，竞赛区</w:t>
      </w:r>
    </w:p>
    <w:p w14:paraId="44F84E27">
      <w:pPr>
        <w:spacing w:line="222" w:lineRule="auto"/>
        <w:sectPr>
          <w:footerReference r:id="rId9" w:type="default"/>
          <w:pgSz w:w="11906" w:h="16839"/>
          <w:pgMar w:top="1431" w:right="1401" w:bottom="1139" w:left="1687" w:header="0" w:footer="979" w:gutter="0"/>
          <w:cols w:space="720" w:num="1"/>
        </w:sectPr>
      </w:pPr>
    </w:p>
    <w:p w14:paraId="33269565">
      <w:pPr>
        <w:pStyle w:val="2"/>
        <w:spacing w:before="217" w:line="559" w:lineRule="exact"/>
        <w:ind w:left="131"/>
      </w:pPr>
      <w:r>
        <w:rPr>
          <w:spacing w:val="-4"/>
          <w:position w:val="20"/>
        </w:rPr>
        <w:t>按照参赛队数量准备比赛所需的软硬件平台，为参赛队提供标准竞赛</w:t>
      </w:r>
    </w:p>
    <w:p w14:paraId="059E7A67">
      <w:pPr>
        <w:pStyle w:val="2"/>
        <w:spacing w:line="224" w:lineRule="auto"/>
        <w:ind w:left="130"/>
      </w:pPr>
      <w:r>
        <w:rPr>
          <w:spacing w:val="-6"/>
        </w:rPr>
        <w:t>设备。</w:t>
      </w:r>
    </w:p>
    <w:p w14:paraId="74C7E5DB">
      <w:pPr>
        <w:pStyle w:val="2"/>
        <w:spacing w:before="184" w:line="411" w:lineRule="auto"/>
        <w:ind w:left="118" w:right="112" w:firstLine="569"/>
      </w:pPr>
      <w:r>
        <w:rPr>
          <w:spacing w:val="3"/>
        </w:rPr>
        <w:t>3.竞赛工位。每个工位上标明编号，工作台上面摆放</w:t>
      </w:r>
      <w:r>
        <w:rPr>
          <w:spacing w:val="-53"/>
        </w:rPr>
        <w:t xml:space="preserve"> </w:t>
      </w:r>
      <w:r>
        <w:rPr>
          <w:spacing w:val="3"/>
        </w:rPr>
        <w:t>2</w:t>
      </w:r>
      <w:r>
        <w:rPr>
          <w:spacing w:val="2"/>
        </w:rPr>
        <w:t xml:space="preserve"> 台开发</w:t>
      </w:r>
      <w:r>
        <w:t xml:space="preserve"> PC</w:t>
      </w:r>
      <w:r>
        <w:rPr>
          <w:spacing w:val="-45"/>
        </w:rPr>
        <w:t xml:space="preserve"> </w:t>
      </w:r>
      <w:r>
        <w:rPr>
          <w:spacing w:val="3"/>
        </w:rPr>
        <w:t>机，并安装竞赛所需的相关软件；提供干粉灭火器材，赛场全程</w:t>
      </w:r>
    </w:p>
    <w:p w14:paraId="782341C9">
      <w:pPr>
        <w:pStyle w:val="2"/>
        <w:spacing w:before="1" w:line="223" w:lineRule="auto"/>
        <w:ind w:left="129"/>
      </w:pPr>
      <w:r>
        <w:rPr>
          <w:spacing w:val="-4"/>
        </w:rPr>
        <w:t>视频监控。</w:t>
      </w:r>
    </w:p>
    <w:p w14:paraId="658D4006">
      <w:pPr>
        <w:pStyle w:val="2"/>
        <w:spacing w:before="284" w:line="221" w:lineRule="auto"/>
        <w:ind w:left="680"/>
      </w:pPr>
      <w:r>
        <w:rPr>
          <w:spacing w:val="-1"/>
        </w:rPr>
        <w:t>4.裁判区。裁判休息的区域。</w:t>
      </w:r>
    </w:p>
    <w:p w14:paraId="3FD761F9">
      <w:pPr>
        <w:pStyle w:val="2"/>
        <w:spacing w:before="289" w:line="624" w:lineRule="exact"/>
        <w:ind w:left="687"/>
      </w:pPr>
      <w:r>
        <w:rPr>
          <w:spacing w:val="-4"/>
          <w:position w:val="26"/>
        </w:rPr>
        <w:t>5.技术支持区。具备电脑、打印机、备用机器等，主要对选手的</w:t>
      </w:r>
    </w:p>
    <w:p w14:paraId="0689CC38">
      <w:pPr>
        <w:pStyle w:val="2"/>
        <w:spacing w:line="221" w:lineRule="auto"/>
        <w:ind w:left="138"/>
      </w:pPr>
      <w:r>
        <w:rPr>
          <w:spacing w:val="-3"/>
        </w:rPr>
        <w:t>工位进行技术保障。</w:t>
      </w:r>
    </w:p>
    <w:p w14:paraId="12BF71A1">
      <w:pPr>
        <w:pStyle w:val="2"/>
        <w:spacing w:before="324" w:line="562" w:lineRule="exact"/>
        <w:ind w:left="691"/>
      </w:pPr>
      <w:r>
        <w:rPr>
          <w:spacing w:val="-2"/>
          <w:position w:val="20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（二）选手竞赛设备</w:t>
      </w:r>
    </w:p>
    <w:p w14:paraId="3145A99C">
      <w:pPr>
        <w:pStyle w:val="2"/>
        <w:spacing w:before="1" w:line="221" w:lineRule="auto"/>
        <w:ind w:left="702"/>
      </w:pPr>
      <w:r>
        <w:rPr>
          <w:spacing w:val="-5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1：硬件平台</w:t>
      </w:r>
    </w:p>
    <w:p w14:paraId="27B28F2B">
      <w:pPr>
        <w:pStyle w:val="2"/>
        <w:spacing w:before="223" w:line="559" w:lineRule="exact"/>
        <w:ind w:left="700"/>
      </w:pPr>
      <w:r>
        <w:rPr>
          <w:spacing w:val="-6"/>
          <w:position w:val="20"/>
        </w:rPr>
        <w:t>每个参赛队配备</w:t>
      </w:r>
      <w:r>
        <w:rPr>
          <w:spacing w:val="-53"/>
          <w:position w:val="20"/>
        </w:rPr>
        <w:t xml:space="preserve"> </w:t>
      </w:r>
      <w:r>
        <w:rPr>
          <w:spacing w:val="-6"/>
          <w:position w:val="20"/>
        </w:rPr>
        <w:t>3 台计算机，2 台为选手开</w:t>
      </w:r>
      <w:r>
        <w:rPr>
          <w:spacing w:val="-7"/>
          <w:position w:val="20"/>
        </w:rPr>
        <w:t>发机，1</w:t>
      </w:r>
      <w:r>
        <w:rPr>
          <w:spacing w:val="-22"/>
          <w:position w:val="20"/>
        </w:rPr>
        <w:t xml:space="preserve"> </w:t>
      </w:r>
      <w:r>
        <w:rPr>
          <w:spacing w:val="-7"/>
          <w:position w:val="20"/>
        </w:rPr>
        <w:t>台服务器，</w:t>
      </w:r>
    </w:p>
    <w:p w14:paraId="28440386">
      <w:pPr>
        <w:pStyle w:val="2"/>
        <w:spacing w:before="1" w:line="222" w:lineRule="auto"/>
        <w:ind w:left="139"/>
      </w:pPr>
      <w:r>
        <w:rPr>
          <w:spacing w:val="-3"/>
        </w:rPr>
        <w:t>最低软硬件配置要求如下：</w:t>
      </w:r>
    </w:p>
    <w:p w14:paraId="3379F3F2">
      <w:pPr>
        <w:pStyle w:val="2"/>
        <w:spacing w:before="224" w:line="559" w:lineRule="exact"/>
        <w:ind w:left="690"/>
      </w:pPr>
      <w:r>
        <w:rPr>
          <w:spacing w:val="-1"/>
          <w:position w:val="21"/>
        </w:rPr>
        <w:t>操作系统：开发机、服务器均为</w:t>
      </w:r>
      <w:r>
        <w:rPr>
          <w:spacing w:val="-69"/>
          <w:position w:val="21"/>
        </w:rPr>
        <w:t xml:space="preserve"> </w:t>
      </w:r>
      <w:r>
        <w:rPr>
          <w:spacing w:val="-1"/>
          <w:position w:val="21"/>
        </w:rPr>
        <w:t xml:space="preserve">Windows </w:t>
      </w:r>
      <w:r>
        <w:rPr>
          <w:spacing w:val="-2"/>
          <w:position w:val="21"/>
        </w:rPr>
        <w:t>10（64</w:t>
      </w:r>
      <w:r>
        <w:rPr>
          <w:spacing w:val="-52"/>
          <w:position w:val="21"/>
        </w:rPr>
        <w:t xml:space="preserve"> </w:t>
      </w:r>
      <w:r>
        <w:rPr>
          <w:spacing w:val="-2"/>
          <w:position w:val="21"/>
        </w:rPr>
        <w:t>位）</w:t>
      </w:r>
    </w:p>
    <w:p w14:paraId="0675AE59">
      <w:pPr>
        <w:pStyle w:val="2"/>
        <w:spacing w:before="2" w:line="222" w:lineRule="auto"/>
        <w:ind w:left="691"/>
      </w:pPr>
      <w:r>
        <w:rPr>
          <w:spacing w:val="-5"/>
        </w:rPr>
        <w:t>处理器：i5 以上处理器（支持</w:t>
      </w:r>
      <w:r>
        <w:rPr>
          <w:spacing w:val="-69"/>
        </w:rPr>
        <w:t xml:space="preserve"> </w:t>
      </w:r>
      <w:r>
        <w:rPr>
          <w:spacing w:val="-5"/>
        </w:rPr>
        <w:t>VT）</w:t>
      </w:r>
    </w:p>
    <w:p w14:paraId="45966F3D">
      <w:pPr>
        <w:pStyle w:val="2"/>
        <w:spacing w:before="221" w:line="220" w:lineRule="auto"/>
        <w:ind w:left="724"/>
      </w:pPr>
      <w:r>
        <w:rPr>
          <w:spacing w:val="-8"/>
        </w:rPr>
        <w:t>内存：16GB</w:t>
      </w:r>
      <w:r>
        <w:rPr>
          <w:spacing w:val="-41"/>
        </w:rPr>
        <w:t xml:space="preserve"> </w:t>
      </w:r>
      <w:r>
        <w:rPr>
          <w:spacing w:val="-8"/>
        </w:rPr>
        <w:t>或以上</w:t>
      </w:r>
    </w:p>
    <w:p w14:paraId="06EB9283">
      <w:pPr>
        <w:pStyle w:val="2"/>
        <w:spacing w:before="227" w:line="224" w:lineRule="auto"/>
        <w:ind w:left="688"/>
      </w:pPr>
      <w:r>
        <w:rPr>
          <w:spacing w:val="-4"/>
        </w:rPr>
        <w:t>硬盘：256GB</w:t>
      </w:r>
      <w:r>
        <w:rPr>
          <w:spacing w:val="-42"/>
        </w:rPr>
        <w:t xml:space="preserve"> </w:t>
      </w:r>
      <w:r>
        <w:rPr>
          <w:spacing w:val="-4"/>
        </w:rPr>
        <w:t>或以上</w:t>
      </w:r>
    </w:p>
    <w:p w14:paraId="5462E8F5">
      <w:pPr>
        <w:pStyle w:val="2"/>
        <w:spacing w:before="220" w:line="223" w:lineRule="auto"/>
        <w:ind w:left="721"/>
      </w:pPr>
      <w:r>
        <w:rPr>
          <w:spacing w:val="-5"/>
        </w:rPr>
        <w:t>网卡：千兆及以上网卡</w:t>
      </w:r>
    </w:p>
    <w:p w14:paraId="018AD8B0">
      <w:pPr>
        <w:pStyle w:val="2"/>
        <w:spacing w:before="220" w:line="224" w:lineRule="auto"/>
        <w:ind w:left="699"/>
      </w:pPr>
      <w:r>
        <w:rPr>
          <w:spacing w:val="-3"/>
        </w:rPr>
        <w:t>显示器：23 英寸及以上</w:t>
      </w:r>
    </w:p>
    <w:p w14:paraId="19248790">
      <w:pPr>
        <w:pStyle w:val="2"/>
        <w:spacing w:before="222" w:line="222" w:lineRule="auto"/>
        <w:ind w:left="685"/>
      </w:pPr>
      <w:r>
        <w:rPr>
          <w:spacing w:val="-2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2：软件平台</w:t>
      </w:r>
    </w:p>
    <w:p w14:paraId="7FA9F6BC">
      <w:pPr>
        <w:pStyle w:val="2"/>
        <w:spacing w:before="223" w:line="222" w:lineRule="auto"/>
        <w:ind w:left="1252"/>
      </w:pPr>
      <w:r>
        <w:rPr>
          <w:spacing w:val="-3"/>
        </w:rPr>
        <w:t>移动应用与开发赛项软件平台如表</w:t>
      </w:r>
      <w:r>
        <w:rPr>
          <w:spacing w:val="-51"/>
        </w:rPr>
        <w:t xml:space="preserve"> </w:t>
      </w:r>
      <w:r>
        <w:rPr>
          <w:spacing w:val="-3"/>
        </w:rPr>
        <w:t>3</w:t>
      </w:r>
      <w:r>
        <w:rPr>
          <w:spacing w:val="-52"/>
        </w:rPr>
        <w:t xml:space="preserve"> </w:t>
      </w:r>
      <w:r>
        <w:rPr>
          <w:spacing w:val="-3"/>
        </w:rPr>
        <w:t>所示。</w:t>
      </w:r>
    </w:p>
    <w:p w14:paraId="2F0F3E3F">
      <w:pPr>
        <w:pStyle w:val="2"/>
        <w:spacing w:before="222" w:line="222" w:lineRule="auto"/>
        <w:ind w:left="2353"/>
      </w:pPr>
      <w:r>
        <w:rPr>
          <w:spacing w:val="-2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  <w:r>
        <w:rPr>
          <w:spacing w:val="-43"/>
        </w:rPr>
        <w:t xml:space="preserve"> </w:t>
      </w:r>
      <w:r>
        <w:rPr>
          <w:spacing w:val="-2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3</w:t>
      </w:r>
      <w:r>
        <w:rPr>
          <w:spacing w:val="-2"/>
        </w:rPr>
        <w:t xml:space="preserve">  </w:t>
      </w:r>
      <w:r>
        <w:rPr>
          <w:spacing w:val="-2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移动应用与开发赛项软件平台</w:t>
      </w:r>
    </w:p>
    <w:p w14:paraId="71F3C798">
      <w:pPr>
        <w:spacing w:line="17" w:lineRule="exact"/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3027"/>
        <w:gridCol w:w="2280"/>
        <w:gridCol w:w="991"/>
        <w:gridCol w:w="1047"/>
      </w:tblGrid>
      <w:tr w14:paraId="56342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81" w:type="dxa"/>
            <w:vAlign w:val="top"/>
          </w:tcPr>
          <w:p w14:paraId="7525DC0F">
            <w:pPr>
              <w:pStyle w:val="6"/>
              <w:spacing w:before="248" w:line="222" w:lineRule="auto"/>
              <w:ind w:left="363"/>
            </w:pPr>
            <w:r>
              <w:rPr>
                <w:spacing w:val="-8"/>
              </w:rPr>
              <w:t>序号</w:t>
            </w:r>
          </w:p>
        </w:tc>
        <w:tc>
          <w:tcPr>
            <w:tcW w:w="3027" w:type="dxa"/>
            <w:vAlign w:val="top"/>
          </w:tcPr>
          <w:p w14:paraId="39EF81B4">
            <w:pPr>
              <w:pStyle w:val="6"/>
              <w:spacing w:before="248" w:line="221" w:lineRule="auto"/>
              <w:ind w:left="1046"/>
            </w:pPr>
            <w:r>
              <w:rPr>
                <w:spacing w:val="-5"/>
              </w:rPr>
              <w:t>软件名称</w:t>
            </w:r>
          </w:p>
        </w:tc>
        <w:tc>
          <w:tcPr>
            <w:tcW w:w="2280" w:type="dxa"/>
            <w:vAlign w:val="top"/>
          </w:tcPr>
          <w:p w14:paraId="3962B000">
            <w:pPr>
              <w:pStyle w:val="6"/>
              <w:spacing w:before="248" w:line="222" w:lineRule="auto"/>
              <w:ind w:left="908"/>
            </w:pPr>
            <w:r>
              <w:rPr>
                <w:spacing w:val="-7"/>
              </w:rPr>
              <w:t>版本</w:t>
            </w:r>
          </w:p>
        </w:tc>
        <w:tc>
          <w:tcPr>
            <w:tcW w:w="991" w:type="dxa"/>
            <w:vAlign w:val="top"/>
          </w:tcPr>
          <w:p w14:paraId="01C8FB31">
            <w:pPr>
              <w:pStyle w:val="6"/>
              <w:spacing w:before="248" w:line="221" w:lineRule="auto"/>
              <w:ind w:left="276"/>
            </w:pPr>
            <w:r>
              <w:rPr>
                <w:spacing w:val="-11"/>
              </w:rPr>
              <w:t>单位</w:t>
            </w:r>
          </w:p>
        </w:tc>
        <w:tc>
          <w:tcPr>
            <w:tcW w:w="1047" w:type="dxa"/>
            <w:vAlign w:val="top"/>
          </w:tcPr>
          <w:p w14:paraId="30549B07">
            <w:pPr>
              <w:pStyle w:val="6"/>
              <w:spacing w:before="248" w:line="223" w:lineRule="auto"/>
              <w:ind w:left="295"/>
            </w:pPr>
            <w:r>
              <w:rPr>
                <w:spacing w:val="-8"/>
              </w:rPr>
              <w:t>数量</w:t>
            </w:r>
          </w:p>
        </w:tc>
      </w:tr>
      <w:tr w14:paraId="6B2CF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181" w:type="dxa"/>
            <w:vAlign w:val="top"/>
          </w:tcPr>
          <w:p w14:paraId="134E3FCA">
            <w:pPr>
              <w:pStyle w:val="6"/>
              <w:spacing w:before="284" w:line="181" w:lineRule="auto"/>
              <w:ind w:left="553"/>
            </w:pPr>
            <w:r>
              <w:t>1</w:t>
            </w:r>
          </w:p>
        </w:tc>
        <w:tc>
          <w:tcPr>
            <w:tcW w:w="3027" w:type="dxa"/>
            <w:vAlign w:val="top"/>
          </w:tcPr>
          <w:p w14:paraId="6EF1A50E">
            <w:pPr>
              <w:pStyle w:val="6"/>
              <w:spacing w:before="243" w:line="238" w:lineRule="auto"/>
              <w:ind w:left="1030"/>
            </w:pPr>
            <w:r>
              <w:rPr>
                <w:spacing w:val="-1"/>
              </w:rPr>
              <w:t>Adobe XD</w:t>
            </w:r>
          </w:p>
        </w:tc>
        <w:tc>
          <w:tcPr>
            <w:tcW w:w="2280" w:type="dxa"/>
            <w:vAlign w:val="top"/>
          </w:tcPr>
          <w:p w14:paraId="6110ECF7">
            <w:pPr>
              <w:pStyle w:val="6"/>
              <w:spacing w:before="285" w:line="180" w:lineRule="auto"/>
              <w:ind w:left="1024"/>
            </w:pPr>
            <w:r>
              <w:rPr>
                <w:spacing w:val="-4"/>
              </w:rPr>
              <w:t>40</w:t>
            </w:r>
          </w:p>
        </w:tc>
        <w:tc>
          <w:tcPr>
            <w:tcW w:w="991" w:type="dxa"/>
            <w:vAlign w:val="top"/>
          </w:tcPr>
          <w:p w14:paraId="3CBA0E65">
            <w:pPr>
              <w:pStyle w:val="6"/>
              <w:spacing w:before="243" w:line="226" w:lineRule="auto"/>
              <w:ind w:left="391"/>
            </w:pPr>
            <w:r>
              <w:t>套</w:t>
            </w:r>
          </w:p>
        </w:tc>
        <w:tc>
          <w:tcPr>
            <w:tcW w:w="1047" w:type="dxa"/>
            <w:vAlign w:val="top"/>
          </w:tcPr>
          <w:p w14:paraId="10010D7A">
            <w:pPr>
              <w:pStyle w:val="6"/>
              <w:spacing w:before="284" w:line="181" w:lineRule="auto"/>
              <w:ind w:left="486"/>
            </w:pPr>
            <w:r>
              <w:t>1</w:t>
            </w:r>
          </w:p>
        </w:tc>
      </w:tr>
      <w:tr w14:paraId="328B9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81" w:type="dxa"/>
            <w:vAlign w:val="top"/>
          </w:tcPr>
          <w:p w14:paraId="00982858">
            <w:pPr>
              <w:pStyle w:val="6"/>
              <w:spacing w:before="289" w:line="180" w:lineRule="auto"/>
              <w:ind w:left="539"/>
            </w:pPr>
            <w:r>
              <w:t>2</w:t>
            </w:r>
          </w:p>
        </w:tc>
        <w:tc>
          <w:tcPr>
            <w:tcW w:w="3027" w:type="dxa"/>
            <w:vAlign w:val="top"/>
          </w:tcPr>
          <w:p w14:paraId="3876E3D3">
            <w:pPr>
              <w:pStyle w:val="6"/>
              <w:spacing w:before="247" w:line="216" w:lineRule="auto"/>
              <w:ind w:left="610"/>
            </w:pPr>
            <w:r>
              <w:rPr>
                <w:spacing w:val="-1"/>
              </w:rPr>
              <w:t>Adobe Photoshop</w:t>
            </w:r>
          </w:p>
        </w:tc>
        <w:tc>
          <w:tcPr>
            <w:tcW w:w="2280" w:type="dxa"/>
            <w:vAlign w:val="top"/>
          </w:tcPr>
          <w:p w14:paraId="6E174EFE">
            <w:pPr>
              <w:pStyle w:val="6"/>
              <w:spacing w:before="288" w:line="180" w:lineRule="auto"/>
              <w:ind w:left="907"/>
            </w:pPr>
            <w:r>
              <w:rPr>
                <w:spacing w:val="-3"/>
              </w:rPr>
              <w:t>2022</w:t>
            </w:r>
          </w:p>
        </w:tc>
        <w:tc>
          <w:tcPr>
            <w:tcW w:w="991" w:type="dxa"/>
            <w:vAlign w:val="top"/>
          </w:tcPr>
          <w:p w14:paraId="4CC22BDE">
            <w:pPr>
              <w:pStyle w:val="6"/>
              <w:spacing w:before="247" w:line="226" w:lineRule="auto"/>
              <w:ind w:left="391"/>
            </w:pPr>
            <w:r>
              <w:t>套</w:t>
            </w:r>
          </w:p>
        </w:tc>
        <w:tc>
          <w:tcPr>
            <w:tcW w:w="1047" w:type="dxa"/>
            <w:vAlign w:val="top"/>
          </w:tcPr>
          <w:p w14:paraId="5553E567">
            <w:pPr>
              <w:pStyle w:val="6"/>
              <w:spacing w:before="287" w:line="181" w:lineRule="auto"/>
              <w:ind w:left="486"/>
            </w:pPr>
            <w:r>
              <w:t>1</w:t>
            </w:r>
          </w:p>
        </w:tc>
      </w:tr>
    </w:tbl>
    <w:p w14:paraId="4D2A9460">
      <w:pPr>
        <w:rPr>
          <w:rFonts w:ascii="Arial"/>
          <w:sz w:val="21"/>
        </w:rPr>
      </w:pPr>
    </w:p>
    <w:p w14:paraId="66F47818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6" w:h="16839"/>
          <w:pgMar w:top="1431" w:right="1687" w:bottom="1142" w:left="1687" w:header="0" w:footer="979" w:gutter="0"/>
          <w:cols w:space="720" w:num="1"/>
        </w:sectPr>
      </w:pPr>
    </w:p>
    <w:p w14:paraId="5934245D">
      <w:pPr>
        <w:spacing w:line="91" w:lineRule="auto"/>
        <w:rPr>
          <w:rFonts w:ascii="Arial"/>
          <w:sz w:val="2"/>
        </w:rPr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3027"/>
        <w:gridCol w:w="2280"/>
        <w:gridCol w:w="991"/>
        <w:gridCol w:w="1047"/>
      </w:tblGrid>
      <w:tr w14:paraId="0E35C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81" w:type="dxa"/>
            <w:vAlign w:val="top"/>
          </w:tcPr>
          <w:p w14:paraId="541DFD7D">
            <w:pPr>
              <w:pStyle w:val="6"/>
              <w:spacing w:before="289" w:line="180" w:lineRule="auto"/>
              <w:ind w:left="541"/>
            </w:pPr>
            <w:r>
              <w:t>3</w:t>
            </w:r>
          </w:p>
        </w:tc>
        <w:tc>
          <w:tcPr>
            <w:tcW w:w="3027" w:type="dxa"/>
            <w:vAlign w:val="top"/>
          </w:tcPr>
          <w:p w14:paraId="4164CBFE">
            <w:pPr>
              <w:pStyle w:val="6"/>
              <w:spacing w:before="248" w:line="239" w:lineRule="auto"/>
              <w:ind w:left="1094"/>
            </w:pPr>
            <w:r>
              <w:rPr>
                <w:spacing w:val="-1"/>
              </w:rPr>
              <w:t>Postman</w:t>
            </w:r>
          </w:p>
        </w:tc>
        <w:tc>
          <w:tcPr>
            <w:tcW w:w="2280" w:type="dxa"/>
            <w:vAlign w:val="top"/>
          </w:tcPr>
          <w:p w14:paraId="21F50D63">
            <w:pPr>
              <w:pStyle w:val="6"/>
              <w:spacing w:before="288" w:line="181" w:lineRule="auto"/>
              <w:ind w:left="922"/>
            </w:pPr>
            <w:r>
              <w:rPr>
                <w:spacing w:val="-7"/>
              </w:rPr>
              <w:t>10.5</w:t>
            </w:r>
          </w:p>
        </w:tc>
        <w:tc>
          <w:tcPr>
            <w:tcW w:w="991" w:type="dxa"/>
            <w:vAlign w:val="top"/>
          </w:tcPr>
          <w:p w14:paraId="5DA9FEA9">
            <w:pPr>
              <w:pStyle w:val="6"/>
              <w:spacing w:before="248" w:line="226" w:lineRule="auto"/>
              <w:ind w:left="391"/>
            </w:pPr>
            <w:r>
              <w:t>套</w:t>
            </w:r>
          </w:p>
        </w:tc>
        <w:tc>
          <w:tcPr>
            <w:tcW w:w="1047" w:type="dxa"/>
            <w:vAlign w:val="top"/>
          </w:tcPr>
          <w:p w14:paraId="3D168D39">
            <w:pPr>
              <w:pStyle w:val="6"/>
              <w:spacing w:before="288" w:line="181" w:lineRule="auto"/>
              <w:ind w:left="486"/>
            </w:pPr>
            <w:r>
              <w:t>1</w:t>
            </w:r>
          </w:p>
        </w:tc>
      </w:tr>
      <w:tr w14:paraId="0D50C0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81" w:type="dxa"/>
            <w:vAlign w:val="top"/>
          </w:tcPr>
          <w:p w14:paraId="48C30654">
            <w:pPr>
              <w:pStyle w:val="6"/>
              <w:spacing w:before="284" w:line="180" w:lineRule="auto"/>
              <w:ind w:left="535"/>
            </w:pPr>
            <w:r>
              <w:t>4</w:t>
            </w:r>
          </w:p>
        </w:tc>
        <w:tc>
          <w:tcPr>
            <w:tcW w:w="3027" w:type="dxa"/>
            <w:vAlign w:val="top"/>
          </w:tcPr>
          <w:p w14:paraId="3968BDB5">
            <w:pPr>
              <w:pStyle w:val="6"/>
              <w:spacing w:before="284" w:line="180" w:lineRule="auto"/>
              <w:ind w:left="1330"/>
            </w:pPr>
            <w:r>
              <w:rPr>
                <w:spacing w:val="-1"/>
              </w:rPr>
              <w:t>WPS</w:t>
            </w:r>
          </w:p>
        </w:tc>
        <w:tc>
          <w:tcPr>
            <w:tcW w:w="2280" w:type="dxa"/>
            <w:vAlign w:val="top"/>
          </w:tcPr>
          <w:p w14:paraId="0E2A6603">
            <w:pPr>
              <w:pStyle w:val="6"/>
              <w:spacing w:before="283" w:line="181" w:lineRule="auto"/>
              <w:ind w:left="802"/>
            </w:pPr>
            <w:r>
              <w:rPr>
                <w:spacing w:val="-5"/>
              </w:rPr>
              <w:t>11.1.0</w:t>
            </w:r>
          </w:p>
        </w:tc>
        <w:tc>
          <w:tcPr>
            <w:tcW w:w="991" w:type="dxa"/>
            <w:vAlign w:val="top"/>
          </w:tcPr>
          <w:p w14:paraId="68222242">
            <w:pPr>
              <w:pStyle w:val="6"/>
              <w:spacing w:before="242" w:line="226" w:lineRule="auto"/>
              <w:ind w:left="391"/>
            </w:pPr>
            <w:r>
              <w:t>套</w:t>
            </w:r>
          </w:p>
        </w:tc>
        <w:tc>
          <w:tcPr>
            <w:tcW w:w="1047" w:type="dxa"/>
            <w:vAlign w:val="top"/>
          </w:tcPr>
          <w:p w14:paraId="6F51494C">
            <w:pPr>
              <w:pStyle w:val="6"/>
              <w:spacing w:before="283" w:line="181" w:lineRule="auto"/>
              <w:ind w:left="486"/>
            </w:pPr>
            <w:r>
              <w:t>1</w:t>
            </w:r>
          </w:p>
        </w:tc>
      </w:tr>
      <w:tr w14:paraId="10F18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81" w:type="dxa"/>
            <w:vAlign w:val="top"/>
          </w:tcPr>
          <w:p w14:paraId="7146ACCE">
            <w:pPr>
              <w:pStyle w:val="6"/>
              <w:spacing w:before="288" w:line="179" w:lineRule="auto"/>
              <w:ind w:left="541"/>
            </w:pPr>
            <w:r>
              <w:t>5</w:t>
            </w:r>
          </w:p>
        </w:tc>
        <w:tc>
          <w:tcPr>
            <w:tcW w:w="3027" w:type="dxa"/>
            <w:vAlign w:val="top"/>
          </w:tcPr>
          <w:p w14:paraId="33240CFB">
            <w:pPr>
              <w:pStyle w:val="6"/>
              <w:spacing w:before="244" w:line="238" w:lineRule="auto"/>
              <w:ind w:left="1034"/>
            </w:pPr>
            <w:r>
              <w:rPr>
                <w:spacing w:val="-1"/>
              </w:rPr>
              <w:t>GitStack</w:t>
            </w:r>
          </w:p>
        </w:tc>
        <w:tc>
          <w:tcPr>
            <w:tcW w:w="2280" w:type="dxa"/>
            <w:vAlign w:val="top"/>
          </w:tcPr>
          <w:p w14:paraId="129A905C">
            <w:pPr>
              <w:pStyle w:val="6"/>
              <w:spacing w:before="285" w:line="181" w:lineRule="auto"/>
              <w:ind w:left="787"/>
            </w:pPr>
            <w:r>
              <w:rPr>
                <w:spacing w:val="-2"/>
              </w:rPr>
              <w:t>2.3.11</w:t>
            </w:r>
          </w:p>
        </w:tc>
        <w:tc>
          <w:tcPr>
            <w:tcW w:w="991" w:type="dxa"/>
            <w:vAlign w:val="top"/>
          </w:tcPr>
          <w:p w14:paraId="522409FA">
            <w:pPr>
              <w:pStyle w:val="6"/>
              <w:spacing w:before="245" w:line="226" w:lineRule="auto"/>
              <w:ind w:left="391"/>
            </w:pPr>
            <w:r>
              <w:t>套</w:t>
            </w:r>
          </w:p>
        </w:tc>
        <w:tc>
          <w:tcPr>
            <w:tcW w:w="1047" w:type="dxa"/>
            <w:vAlign w:val="top"/>
          </w:tcPr>
          <w:p w14:paraId="0FB832F7">
            <w:pPr>
              <w:pStyle w:val="6"/>
              <w:spacing w:before="285" w:line="181" w:lineRule="auto"/>
              <w:ind w:left="486"/>
            </w:pPr>
            <w:r>
              <w:t>1</w:t>
            </w:r>
          </w:p>
        </w:tc>
      </w:tr>
      <w:tr w14:paraId="0A0A4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81" w:type="dxa"/>
            <w:vAlign w:val="top"/>
          </w:tcPr>
          <w:p w14:paraId="745546C8">
            <w:pPr>
              <w:pStyle w:val="6"/>
              <w:spacing w:before="286" w:line="180" w:lineRule="auto"/>
              <w:ind w:left="538"/>
            </w:pPr>
            <w:r>
              <w:t>6</w:t>
            </w:r>
          </w:p>
        </w:tc>
        <w:tc>
          <w:tcPr>
            <w:tcW w:w="3027" w:type="dxa"/>
            <w:vAlign w:val="top"/>
          </w:tcPr>
          <w:p w14:paraId="0AD28794">
            <w:pPr>
              <w:pStyle w:val="6"/>
              <w:spacing w:before="244" w:line="238" w:lineRule="auto"/>
              <w:ind w:left="670"/>
            </w:pPr>
            <w:r>
              <w:rPr>
                <w:spacing w:val="-1"/>
              </w:rPr>
              <w:t>Android Studio</w:t>
            </w:r>
          </w:p>
        </w:tc>
        <w:tc>
          <w:tcPr>
            <w:tcW w:w="2280" w:type="dxa"/>
            <w:vAlign w:val="top"/>
          </w:tcPr>
          <w:p w14:paraId="2F18A7C4">
            <w:pPr>
              <w:pStyle w:val="6"/>
              <w:spacing w:before="286" w:line="180" w:lineRule="auto"/>
              <w:ind w:left="844"/>
            </w:pPr>
            <w:r>
              <w:rPr>
                <w:spacing w:val="-2"/>
              </w:rPr>
              <w:t>4.2.2</w:t>
            </w:r>
          </w:p>
        </w:tc>
        <w:tc>
          <w:tcPr>
            <w:tcW w:w="991" w:type="dxa"/>
            <w:vAlign w:val="top"/>
          </w:tcPr>
          <w:p w14:paraId="142AC92E">
            <w:pPr>
              <w:pStyle w:val="6"/>
              <w:spacing w:before="244" w:line="226" w:lineRule="auto"/>
              <w:ind w:left="391"/>
            </w:pPr>
            <w:r>
              <w:t>套</w:t>
            </w:r>
          </w:p>
        </w:tc>
        <w:tc>
          <w:tcPr>
            <w:tcW w:w="1047" w:type="dxa"/>
            <w:vAlign w:val="top"/>
          </w:tcPr>
          <w:p w14:paraId="52D74D66">
            <w:pPr>
              <w:pStyle w:val="6"/>
              <w:spacing w:before="285" w:line="181" w:lineRule="auto"/>
              <w:ind w:left="486"/>
            </w:pPr>
            <w:r>
              <w:t>1</w:t>
            </w:r>
          </w:p>
        </w:tc>
      </w:tr>
      <w:tr w14:paraId="69BD1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81" w:type="dxa"/>
            <w:vAlign w:val="top"/>
          </w:tcPr>
          <w:p w14:paraId="47D4668D">
            <w:pPr>
              <w:pStyle w:val="6"/>
              <w:spacing w:before="290" w:line="179" w:lineRule="auto"/>
              <w:ind w:left="541"/>
            </w:pPr>
            <w:r>
              <w:t>7</w:t>
            </w:r>
          </w:p>
        </w:tc>
        <w:tc>
          <w:tcPr>
            <w:tcW w:w="3027" w:type="dxa"/>
            <w:vAlign w:val="top"/>
          </w:tcPr>
          <w:p w14:paraId="6236DD89">
            <w:pPr>
              <w:pStyle w:val="6"/>
              <w:spacing w:before="247" w:line="223" w:lineRule="auto"/>
              <w:ind w:left="701"/>
            </w:pPr>
            <w:r>
              <w:rPr>
                <w:spacing w:val="-2"/>
              </w:rPr>
              <w:t>Android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模拟器</w:t>
            </w:r>
          </w:p>
        </w:tc>
        <w:tc>
          <w:tcPr>
            <w:tcW w:w="2280" w:type="dxa"/>
            <w:vAlign w:val="top"/>
          </w:tcPr>
          <w:p w14:paraId="6163A9D7">
            <w:pPr>
              <w:pStyle w:val="6"/>
              <w:spacing w:before="287" w:line="181" w:lineRule="auto"/>
              <w:ind w:left="802"/>
            </w:pPr>
            <w:r>
              <w:rPr>
                <w:spacing w:val="-5"/>
              </w:rPr>
              <w:t>10.0.X</w:t>
            </w:r>
          </w:p>
        </w:tc>
        <w:tc>
          <w:tcPr>
            <w:tcW w:w="991" w:type="dxa"/>
            <w:vAlign w:val="top"/>
          </w:tcPr>
          <w:p w14:paraId="13CD4FFD">
            <w:pPr>
              <w:pStyle w:val="6"/>
              <w:spacing w:before="247" w:line="226" w:lineRule="auto"/>
              <w:ind w:left="391"/>
            </w:pPr>
            <w:r>
              <w:t>套</w:t>
            </w:r>
          </w:p>
        </w:tc>
        <w:tc>
          <w:tcPr>
            <w:tcW w:w="1047" w:type="dxa"/>
            <w:vAlign w:val="top"/>
          </w:tcPr>
          <w:p w14:paraId="2623F69D">
            <w:pPr>
              <w:pStyle w:val="6"/>
              <w:spacing w:before="287" w:line="181" w:lineRule="auto"/>
              <w:ind w:left="486"/>
            </w:pPr>
            <w:r>
              <w:t>1</w:t>
            </w:r>
          </w:p>
        </w:tc>
      </w:tr>
      <w:tr w14:paraId="2DE73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81" w:type="dxa"/>
            <w:vAlign w:val="top"/>
          </w:tcPr>
          <w:p w14:paraId="2254DD2D">
            <w:pPr>
              <w:pStyle w:val="6"/>
              <w:spacing w:before="287" w:line="180" w:lineRule="auto"/>
              <w:ind w:left="537"/>
            </w:pPr>
            <w:r>
              <w:t>8</w:t>
            </w:r>
          </w:p>
        </w:tc>
        <w:tc>
          <w:tcPr>
            <w:tcW w:w="3027" w:type="dxa"/>
            <w:vAlign w:val="top"/>
          </w:tcPr>
          <w:p w14:paraId="6EA2FE07">
            <w:pPr>
              <w:pStyle w:val="6"/>
              <w:spacing w:before="245" w:line="238" w:lineRule="auto"/>
              <w:ind w:left="912"/>
            </w:pPr>
            <w:r>
              <w:t>HBuilder</w:t>
            </w:r>
            <w:r>
              <w:rPr>
                <w:spacing w:val="2"/>
              </w:rPr>
              <w:t xml:space="preserve"> </w:t>
            </w:r>
            <w:r>
              <w:t>X</w:t>
            </w:r>
          </w:p>
        </w:tc>
        <w:tc>
          <w:tcPr>
            <w:tcW w:w="2280" w:type="dxa"/>
            <w:vAlign w:val="top"/>
          </w:tcPr>
          <w:p w14:paraId="67B94B11">
            <w:pPr>
              <w:pStyle w:val="6"/>
              <w:spacing w:before="286" w:line="181" w:lineRule="auto"/>
              <w:ind w:left="789"/>
            </w:pPr>
            <w:r>
              <w:rPr>
                <w:spacing w:val="-3"/>
              </w:rPr>
              <w:t>3.1.22</w:t>
            </w:r>
          </w:p>
        </w:tc>
        <w:tc>
          <w:tcPr>
            <w:tcW w:w="991" w:type="dxa"/>
            <w:vAlign w:val="top"/>
          </w:tcPr>
          <w:p w14:paraId="129B7FB3">
            <w:pPr>
              <w:pStyle w:val="6"/>
              <w:spacing w:before="245" w:line="226" w:lineRule="auto"/>
              <w:ind w:left="391"/>
            </w:pPr>
            <w:r>
              <w:t>套</w:t>
            </w:r>
          </w:p>
        </w:tc>
        <w:tc>
          <w:tcPr>
            <w:tcW w:w="1047" w:type="dxa"/>
            <w:vAlign w:val="top"/>
          </w:tcPr>
          <w:p w14:paraId="2CBFC5CC">
            <w:pPr>
              <w:pStyle w:val="6"/>
              <w:spacing w:before="286" w:line="181" w:lineRule="auto"/>
              <w:ind w:left="486"/>
            </w:pPr>
            <w:r>
              <w:t>1</w:t>
            </w:r>
          </w:p>
        </w:tc>
      </w:tr>
      <w:tr w14:paraId="21CEA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81" w:type="dxa"/>
            <w:vAlign w:val="top"/>
          </w:tcPr>
          <w:p w14:paraId="58BA99FC">
            <w:pPr>
              <w:pStyle w:val="6"/>
              <w:spacing w:before="288" w:line="180" w:lineRule="auto"/>
              <w:ind w:left="537"/>
            </w:pPr>
            <w:r>
              <w:t>9</w:t>
            </w:r>
          </w:p>
        </w:tc>
        <w:tc>
          <w:tcPr>
            <w:tcW w:w="3027" w:type="dxa"/>
            <w:vAlign w:val="top"/>
          </w:tcPr>
          <w:p w14:paraId="6BF11CDB">
            <w:pPr>
              <w:pStyle w:val="6"/>
              <w:spacing w:before="247" w:line="223" w:lineRule="auto"/>
              <w:ind w:left="766"/>
            </w:pPr>
            <w:r>
              <w:rPr>
                <w:spacing w:val="-3"/>
              </w:rPr>
              <w:t>Chrome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浏览器</w:t>
            </w:r>
          </w:p>
        </w:tc>
        <w:tc>
          <w:tcPr>
            <w:tcW w:w="2280" w:type="dxa"/>
            <w:vAlign w:val="top"/>
          </w:tcPr>
          <w:p w14:paraId="281044B1">
            <w:pPr>
              <w:pStyle w:val="6"/>
              <w:spacing w:before="287" w:line="181" w:lineRule="auto"/>
              <w:ind w:left="862"/>
            </w:pPr>
            <w:r>
              <w:rPr>
                <w:spacing w:val="-6"/>
              </w:rPr>
              <w:t>111.X</w:t>
            </w:r>
          </w:p>
        </w:tc>
        <w:tc>
          <w:tcPr>
            <w:tcW w:w="991" w:type="dxa"/>
            <w:vAlign w:val="top"/>
          </w:tcPr>
          <w:p w14:paraId="5B2FE33F">
            <w:pPr>
              <w:pStyle w:val="6"/>
              <w:spacing w:before="247" w:line="226" w:lineRule="auto"/>
              <w:ind w:left="391"/>
            </w:pPr>
            <w:r>
              <w:t>套</w:t>
            </w:r>
          </w:p>
        </w:tc>
        <w:tc>
          <w:tcPr>
            <w:tcW w:w="1047" w:type="dxa"/>
            <w:vAlign w:val="top"/>
          </w:tcPr>
          <w:p w14:paraId="1FD228E3">
            <w:pPr>
              <w:pStyle w:val="6"/>
              <w:spacing w:before="287" w:line="181" w:lineRule="auto"/>
              <w:ind w:left="486"/>
            </w:pPr>
            <w:r>
              <w:t>1</w:t>
            </w:r>
          </w:p>
        </w:tc>
      </w:tr>
      <w:tr w14:paraId="5FD0CC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</w:trPr>
        <w:tc>
          <w:tcPr>
            <w:tcW w:w="1181" w:type="dxa"/>
            <w:vAlign w:val="top"/>
          </w:tcPr>
          <w:p w14:paraId="7445C9F2">
            <w:pPr>
              <w:spacing w:line="255" w:lineRule="auto"/>
              <w:rPr>
                <w:rFonts w:ascii="Arial"/>
                <w:sz w:val="21"/>
              </w:rPr>
            </w:pPr>
          </w:p>
          <w:p w14:paraId="180C6825">
            <w:pPr>
              <w:spacing w:line="255" w:lineRule="auto"/>
              <w:rPr>
                <w:rFonts w:ascii="Arial"/>
                <w:sz w:val="21"/>
              </w:rPr>
            </w:pPr>
          </w:p>
          <w:p w14:paraId="40E181F6">
            <w:pPr>
              <w:spacing w:line="255" w:lineRule="auto"/>
              <w:rPr>
                <w:rFonts w:ascii="Arial"/>
                <w:sz w:val="21"/>
              </w:rPr>
            </w:pPr>
          </w:p>
          <w:p w14:paraId="3D34016A">
            <w:pPr>
              <w:pStyle w:val="6"/>
              <w:spacing w:before="78" w:line="181" w:lineRule="auto"/>
              <w:ind w:left="493"/>
            </w:pPr>
            <w:r>
              <w:rPr>
                <w:spacing w:val="-14"/>
              </w:rPr>
              <w:t>10</w:t>
            </w:r>
          </w:p>
        </w:tc>
        <w:tc>
          <w:tcPr>
            <w:tcW w:w="3027" w:type="dxa"/>
            <w:vAlign w:val="top"/>
          </w:tcPr>
          <w:p w14:paraId="65B1F307">
            <w:pPr>
              <w:pStyle w:val="6"/>
              <w:spacing w:before="246" w:line="222" w:lineRule="auto"/>
              <w:ind w:left="124"/>
            </w:pPr>
            <w:r>
              <w:rPr>
                <w:spacing w:val="-8"/>
              </w:rPr>
              <w:t>东软教育、东软智汇移动应</w:t>
            </w:r>
          </w:p>
          <w:p w14:paraId="254BD032">
            <w:pPr>
              <w:pStyle w:val="6"/>
              <w:spacing w:before="273" w:line="222" w:lineRule="auto"/>
              <w:ind w:left="205"/>
            </w:pPr>
            <w:r>
              <w:rPr>
                <w:spacing w:val="-2"/>
              </w:rPr>
              <w:t>用设计与开发训练系统软</w:t>
            </w:r>
          </w:p>
          <w:p w14:paraId="1DFC8711">
            <w:pPr>
              <w:pStyle w:val="6"/>
              <w:spacing w:before="270" w:line="222" w:lineRule="auto"/>
              <w:ind w:left="1136"/>
            </w:pPr>
            <w:r>
              <w:rPr>
                <w:spacing w:val="-4"/>
              </w:rPr>
              <w:t>件</w:t>
            </w:r>
            <w:r>
              <w:rPr>
                <w:spacing w:val="-57"/>
              </w:rPr>
              <w:t xml:space="preserve"> </w:t>
            </w:r>
            <w:r>
              <w:rPr>
                <w:spacing w:val="-4"/>
              </w:rPr>
              <w:t>V1.0</w:t>
            </w:r>
          </w:p>
        </w:tc>
        <w:tc>
          <w:tcPr>
            <w:tcW w:w="2280" w:type="dxa"/>
            <w:vAlign w:val="top"/>
          </w:tcPr>
          <w:p w14:paraId="0B1995F4">
            <w:pPr>
              <w:spacing w:line="255" w:lineRule="auto"/>
              <w:rPr>
                <w:rFonts w:ascii="Arial"/>
                <w:sz w:val="21"/>
              </w:rPr>
            </w:pPr>
          </w:p>
          <w:p w14:paraId="2F0BB848">
            <w:pPr>
              <w:spacing w:line="255" w:lineRule="auto"/>
              <w:rPr>
                <w:rFonts w:ascii="Arial"/>
                <w:sz w:val="21"/>
              </w:rPr>
            </w:pPr>
          </w:p>
          <w:p w14:paraId="21057913">
            <w:pPr>
              <w:spacing w:line="255" w:lineRule="auto"/>
              <w:rPr>
                <w:rFonts w:ascii="Arial"/>
                <w:sz w:val="21"/>
              </w:rPr>
            </w:pPr>
          </w:p>
          <w:p w14:paraId="277E84DD">
            <w:pPr>
              <w:pStyle w:val="6"/>
              <w:spacing w:before="78" w:line="181" w:lineRule="auto"/>
              <w:ind w:left="982"/>
            </w:pPr>
            <w:r>
              <w:rPr>
                <w:spacing w:val="-9"/>
              </w:rPr>
              <w:t>1.0</w:t>
            </w:r>
          </w:p>
        </w:tc>
        <w:tc>
          <w:tcPr>
            <w:tcW w:w="991" w:type="dxa"/>
            <w:vAlign w:val="top"/>
          </w:tcPr>
          <w:p w14:paraId="7C7075C2">
            <w:pPr>
              <w:spacing w:line="241" w:lineRule="auto"/>
              <w:rPr>
                <w:rFonts w:ascii="Arial"/>
                <w:sz w:val="21"/>
              </w:rPr>
            </w:pPr>
          </w:p>
          <w:p w14:paraId="27A0A9A4">
            <w:pPr>
              <w:spacing w:line="242" w:lineRule="auto"/>
              <w:rPr>
                <w:rFonts w:ascii="Arial"/>
                <w:sz w:val="21"/>
              </w:rPr>
            </w:pPr>
          </w:p>
          <w:p w14:paraId="24A628EA">
            <w:pPr>
              <w:spacing w:line="242" w:lineRule="auto"/>
              <w:rPr>
                <w:rFonts w:ascii="Arial"/>
                <w:sz w:val="21"/>
              </w:rPr>
            </w:pPr>
          </w:p>
          <w:p w14:paraId="180DD6A6">
            <w:pPr>
              <w:pStyle w:val="6"/>
              <w:spacing w:before="78" w:line="226" w:lineRule="auto"/>
              <w:ind w:left="391"/>
            </w:pPr>
            <w:r>
              <w:t>套</w:t>
            </w:r>
          </w:p>
        </w:tc>
        <w:tc>
          <w:tcPr>
            <w:tcW w:w="1047" w:type="dxa"/>
            <w:vAlign w:val="top"/>
          </w:tcPr>
          <w:p w14:paraId="1464A42F">
            <w:pPr>
              <w:spacing w:line="255" w:lineRule="auto"/>
              <w:rPr>
                <w:rFonts w:ascii="Arial"/>
                <w:sz w:val="21"/>
              </w:rPr>
            </w:pPr>
          </w:p>
          <w:p w14:paraId="77460041">
            <w:pPr>
              <w:spacing w:line="255" w:lineRule="auto"/>
              <w:rPr>
                <w:rFonts w:ascii="Arial"/>
                <w:sz w:val="21"/>
              </w:rPr>
            </w:pPr>
          </w:p>
          <w:p w14:paraId="243B38E0">
            <w:pPr>
              <w:spacing w:line="255" w:lineRule="auto"/>
              <w:rPr>
                <w:rFonts w:ascii="Arial"/>
                <w:sz w:val="21"/>
              </w:rPr>
            </w:pPr>
          </w:p>
          <w:p w14:paraId="22659300">
            <w:pPr>
              <w:pStyle w:val="6"/>
              <w:spacing w:before="78" w:line="181" w:lineRule="auto"/>
              <w:ind w:left="486"/>
            </w:pPr>
            <w:r>
              <w:t>1</w:t>
            </w:r>
          </w:p>
        </w:tc>
      </w:tr>
    </w:tbl>
    <w:p w14:paraId="0798EA03">
      <w:pPr>
        <w:spacing w:before="207" w:line="222" w:lineRule="auto"/>
        <w:ind w:left="68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九、成绩评定</w:t>
      </w:r>
    </w:p>
    <w:p w14:paraId="27BCFC5D">
      <w:pPr>
        <w:pStyle w:val="2"/>
        <w:spacing w:before="224" w:line="223" w:lineRule="auto"/>
        <w:ind w:left="691"/>
      </w:pPr>
      <w:r>
        <w:rPr>
          <w:spacing w:val="-2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（一）评分原则</w:t>
      </w:r>
    </w:p>
    <w:p w14:paraId="0E2592AF">
      <w:pPr>
        <w:pStyle w:val="2"/>
        <w:spacing w:before="221" w:line="223" w:lineRule="auto"/>
        <w:ind w:left="702"/>
      </w:pPr>
      <w:r>
        <w:rPr>
          <w:spacing w:val="-4"/>
        </w:rPr>
        <w:t>1. 独立评分原则</w:t>
      </w:r>
    </w:p>
    <w:p w14:paraId="10B5246F">
      <w:pPr>
        <w:pStyle w:val="2"/>
        <w:spacing w:before="222" w:line="369" w:lineRule="auto"/>
        <w:ind w:left="138" w:right="112" w:firstLine="553"/>
      </w:pPr>
      <w:r>
        <w:rPr>
          <w:spacing w:val="-4"/>
        </w:rPr>
        <w:t>根据裁判分工，负责相同模块评分工作的不同裁判，采取随</w:t>
      </w:r>
      <w:r>
        <w:rPr>
          <w:spacing w:val="-5"/>
        </w:rPr>
        <w:t>机抽</w:t>
      </w:r>
      <w:r>
        <w:t xml:space="preserve"> </w:t>
      </w:r>
      <w:r>
        <w:rPr>
          <w:spacing w:val="-4"/>
        </w:rPr>
        <w:t>签方式对参赛选手提交的竞赛作品，依据赛项评价标准独立评分，确</w:t>
      </w:r>
    </w:p>
    <w:p w14:paraId="670424DD">
      <w:pPr>
        <w:pStyle w:val="2"/>
        <w:spacing w:line="221" w:lineRule="auto"/>
        <w:ind w:left="132"/>
      </w:pPr>
      <w:r>
        <w:rPr>
          <w:spacing w:val="-2"/>
        </w:rPr>
        <w:t>保成绩评定严谨、客观、准确。</w:t>
      </w:r>
    </w:p>
    <w:p w14:paraId="4447B05A">
      <w:pPr>
        <w:pStyle w:val="2"/>
        <w:spacing w:before="223" w:line="561" w:lineRule="exact"/>
        <w:ind w:left="695"/>
      </w:pPr>
      <w:r>
        <w:rPr>
          <w:spacing w:val="-4"/>
          <w:position w:val="21"/>
        </w:rPr>
        <w:t>裁判每次评分前须进行随机抽签分组，杜绝主观意愿</w:t>
      </w:r>
      <w:r>
        <w:rPr>
          <w:spacing w:val="-5"/>
          <w:position w:val="21"/>
        </w:rPr>
        <w:t>组队，各自</w:t>
      </w:r>
    </w:p>
    <w:p w14:paraId="49A9BD6C">
      <w:pPr>
        <w:pStyle w:val="2"/>
        <w:spacing w:before="2" w:line="222" w:lineRule="auto"/>
        <w:ind w:left="136"/>
      </w:pPr>
      <w:r>
        <w:rPr>
          <w:spacing w:val="-2"/>
        </w:rPr>
        <w:t>完全独立评分，裁判员间互不干涉。</w:t>
      </w:r>
    </w:p>
    <w:p w14:paraId="3AEE4707">
      <w:pPr>
        <w:pStyle w:val="2"/>
        <w:spacing w:before="220" w:line="224" w:lineRule="auto"/>
        <w:ind w:left="685"/>
      </w:pPr>
      <w:r>
        <w:rPr>
          <w:spacing w:val="-2"/>
        </w:rPr>
        <w:t>2. 错误不传递原则</w:t>
      </w:r>
    </w:p>
    <w:p w14:paraId="0C201EC1">
      <w:pPr>
        <w:pStyle w:val="2"/>
        <w:spacing w:before="221" w:line="222" w:lineRule="auto"/>
        <w:jc w:val="right"/>
      </w:pPr>
      <w:r>
        <w:rPr>
          <w:spacing w:val="-10"/>
        </w:rPr>
        <w:t>各环节分别计算得分，错误不传递，按规定比例计入参赛队总</w:t>
      </w:r>
      <w:r>
        <w:rPr>
          <w:spacing w:val="-11"/>
        </w:rPr>
        <w:t>分。</w:t>
      </w:r>
    </w:p>
    <w:p w14:paraId="2241F535">
      <w:pPr>
        <w:pStyle w:val="2"/>
        <w:spacing w:before="224" w:line="223" w:lineRule="auto"/>
        <w:ind w:left="687"/>
      </w:pPr>
      <w:r>
        <w:rPr>
          <w:spacing w:val="-5"/>
        </w:rPr>
        <w:t>3.</w:t>
      </w:r>
      <w:r>
        <w:rPr>
          <w:spacing w:val="25"/>
        </w:rPr>
        <w:t xml:space="preserve"> </w:t>
      </w:r>
      <w:r>
        <w:rPr>
          <w:spacing w:val="-5"/>
        </w:rPr>
        <w:t>结果评分原则</w:t>
      </w:r>
    </w:p>
    <w:p w14:paraId="1A4F2436">
      <w:pPr>
        <w:pStyle w:val="2"/>
        <w:spacing w:before="223" w:line="369" w:lineRule="auto"/>
        <w:ind w:left="131" w:right="112" w:firstLine="561"/>
      </w:pPr>
      <w:r>
        <w:rPr>
          <w:spacing w:val="-4"/>
        </w:rPr>
        <w:t>如出现参赛队总分相同情况，按照模块二、三、一顺序的</w:t>
      </w:r>
      <w:r>
        <w:rPr>
          <w:spacing w:val="-5"/>
        </w:rPr>
        <w:t>得分高</w:t>
      </w:r>
      <w:r>
        <w:t xml:space="preserve"> </w:t>
      </w:r>
      <w:r>
        <w:rPr>
          <w:spacing w:val="-4"/>
        </w:rPr>
        <w:t>低排定名次顺序，即总成绩相同的情况下优先比较模块二的成绩，模</w:t>
      </w:r>
    </w:p>
    <w:p w14:paraId="25B791A5">
      <w:pPr>
        <w:pStyle w:val="2"/>
        <w:spacing w:line="222" w:lineRule="auto"/>
        <w:ind w:left="130"/>
      </w:pPr>
      <w:r>
        <w:rPr>
          <w:spacing w:val="-4"/>
        </w:rPr>
        <w:t>块二成绩高的排名优先，其次按照模块三、一的成绩以此类推完成相</w:t>
      </w:r>
    </w:p>
    <w:p w14:paraId="3E9CC5F0">
      <w:pPr>
        <w:spacing w:line="222" w:lineRule="auto"/>
        <w:sectPr>
          <w:footerReference r:id="rId11" w:type="default"/>
          <w:pgSz w:w="11906" w:h="16839"/>
          <w:pgMar w:top="1431" w:right="1687" w:bottom="1142" w:left="1687" w:header="0" w:footer="979" w:gutter="0"/>
          <w:cols w:space="720" w:num="1"/>
        </w:sectPr>
      </w:pPr>
    </w:p>
    <w:p w14:paraId="43010589">
      <w:pPr>
        <w:pStyle w:val="2"/>
        <w:spacing w:before="217" w:line="559" w:lineRule="exact"/>
        <w:ind w:left="164"/>
      </w:pPr>
      <w:r>
        <w:rPr>
          <w:spacing w:val="-4"/>
          <w:position w:val="20"/>
        </w:rPr>
        <w:t>同成绩的排序。如果各模块分值相同，则比较模</w:t>
      </w:r>
      <w:r>
        <w:rPr>
          <w:spacing w:val="-5"/>
          <w:position w:val="20"/>
        </w:rPr>
        <w:t>块二各任务分值，按</w:t>
      </w:r>
    </w:p>
    <w:p w14:paraId="5EE25605">
      <w:pPr>
        <w:pStyle w:val="2"/>
        <w:spacing w:before="1" w:line="222" w:lineRule="auto"/>
        <w:ind w:left="138"/>
      </w:pPr>
      <w:r>
        <w:rPr>
          <w:spacing w:val="-2"/>
        </w:rPr>
        <w:t>照任务编号从大到小的得分值排序。</w:t>
      </w:r>
    </w:p>
    <w:p w14:paraId="616CF534">
      <w:pPr>
        <w:pStyle w:val="2"/>
        <w:spacing w:before="220" w:line="224" w:lineRule="auto"/>
        <w:ind w:left="680"/>
      </w:pPr>
      <w:r>
        <w:rPr>
          <w:spacing w:val="-5"/>
        </w:rPr>
        <w:t>4.</w:t>
      </w:r>
      <w:r>
        <w:rPr>
          <w:spacing w:val="32"/>
        </w:rPr>
        <w:t xml:space="preserve"> </w:t>
      </w:r>
      <w:r>
        <w:rPr>
          <w:spacing w:val="-5"/>
        </w:rPr>
        <w:t>二层加密原则</w:t>
      </w:r>
    </w:p>
    <w:p w14:paraId="1E84E4F6">
      <w:pPr>
        <w:pStyle w:val="2"/>
        <w:spacing w:before="221" w:line="369" w:lineRule="auto"/>
        <w:ind w:left="138" w:right="112" w:firstLine="584"/>
      </w:pPr>
      <w:r>
        <w:rPr>
          <w:spacing w:val="-5"/>
        </w:rPr>
        <w:t>比赛过程采取二层加密，通过抽取参赛编号、赛位号</w:t>
      </w:r>
      <w:r>
        <w:rPr>
          <w:spacing w:val="-6"/>
        </w:rPr>
        <w:t>和竞赛成果</w:t>
      </w:r>
      <w:r>
        <w:t xml:space="preserve"> </w:t>
      </w:r>
      <w:r>
        <w:rPr>
          <w:spacing w:val="-4"/>
        </w:rPr>
        <w:t>号，屏蔽参赛队信息，每个环节设置独立裁判，每个环节结束后，数</w:t>
      </w:r>
    </w:p>
    <w:p w14:paraId="61930382">
      <w:pPr>
        <w:pStyle w:val="2"/>
        <w:spacing w:line="220" w:lineRule="auto"/>
        <w:ind w:left="132"/>
      </w:pPr>
      <w:r>
        <w:rPr>
          <w:spacing w:val="-1"/>
        </w:rPr>
        <w:t>据立即封存于裁判长处，确保成绩评定公平、公正。</w:t>
      </w:r>
    </w:p>
    <w:p w14:paraId="382EC98C">
      <w:pPr>
        <w:pStyle w:val="2"/>
        <w:spacing w:before="227" w:line="223" w:lineRule="auto"/>
        <w:ind w:left="687"/>
      </w:pPr>
      <w:r>
        <w:rPr>
          <w:spacing w:val="-5"/>
        </w:rPr>
        <w:t>5.</w:t>
      </w:r>
      <w:r>
        <w:rPr>
          <w:spacing w:val="25"/>
        </w:rPr>
        <w:t xml:space="preserve"> </w:t>
      </w:r>
      <w:r>
        <w:rPr>
          <w:spacing w:val="-5"/>
        </w:rPr>
        <w:t>成绩抽查复核</w:t>
      </w:r>
    </w:p>
    <w:p w14:paraId="651E4F51">
      <w:pPr>
        <w:pStyle w:val="2"/>
        <w:spacing w:before="221" w:line="559" w:lineRule="exact"/>
        <w:ind w:left="692"/>
      </w:pPr>
      <w:r>
        <w:rPr>
          <w:spacing w:val="-1"/>
          <w:position w:val="20"/>
        </w:rPr>
        <w:t>对赛项总成绩排名前</w:t>
      </w:r>
      <w:r>
        <w:rPr>
          <w:spacing w:val="-47"/>
          <w:position w:val="20"/>
        </w:rPr>
        <w:t xml:space="preserve"> </w:t>
      </w:r>
      <w:r>
        <w:rPr>
          <w:spacing w:val="-1"/>
          <w:position w:val="20"/>
        </w:rPr>
        <w:t>60%的成绩进行复核，其中前</w:t>
      </w:r>
      <w:r>
        <w:rPr>
          <w:spacing w:val="-38"/>
          <w:position w:val="20"/>
        </w:rPr>
        <w:t xml:space="preserve"> </w:t>
      </w:r>
      <w:r>
        <w:rPr>
          <w:spacing w:val="-1"/>
          <w:position w:val="20"/>
        </w:rPr>
        <w:t>15%的成绩进</w:t>
      </w:r>
    </w:p>
    <w:p w14:paraId="05992132">
      <w:pPr>
        <w:pStyle w:val="2"/>
        <w:spacing w:before="2" w:line="220" w:lineRule="auto"/>
        <w:ind w:left="133"/>
      </w:pPr>
      <w:r>
        <w:rPr>
          <w:spacing w:val="-1"/>
        </w:rPr>
        <w:t>行全部复核，其余成绩进行抽检复核，抽检</w:t>
      </w:r>
      <w:r>
        <w:rPr>
          <w:spacing w:val="-2"/>
        </w:rPr>
        <w:t>覆盖率为</w:t>
      </w:r>
      <w:r>
        <w:rPr>
          <w:spacing w:val="-57"/>
        </w:rPr>
        <w:t xml:space="preserve"> </w:t>
      </w:r>
      <w:r>
        <w:rPr>
          <w:spacing w:val="-2"/>
        </w:rPr>
        <w:t>30%。</w:t>
      </w:r>
    </w:p>
    <w:p w14:paraId="039C544F">
      <w:pPr>
        <w:pStyle w:val="2"/>
        <w:spacing w:before="226" w:line="223" w:lineRule="auto"/>
        <w:ind w:left="691"/>
      </w:pPr>
      <w:r>
        <w:rPr>
          <w:spacing w:val="-2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（二）评分细则</w:t>
      </w:r>
    </w:p>
    <w:p w14:paraId="426AC94A">
      <w:pPr>
        <w:pStyle w:val="2"/>
        <w:spacing w:before="221" w:line="560" w:lineRule="exact"/>
        <w:ind w:left="691"/>
      </w:pPr>
      <w:r>
        <w:rPr>
          <w:spacing w:val="-2"/>
          <w:position w:val="20"/>
        </w:rPr>
        <w:t>本项目评分标准分为评价和测量两类。</w:t>
      </w:r>
    </w:p>
    <w:p w14:paraId="7483B29A">
      <w:pPr>
        <w:pStyle w:val="2"/>
        <w:spacing w:before="1" w:line="222" w:lineRule="auto"/>
        <w:ind w:left="702"/>
      </w:pPr>
      <w:r>
        <w:rPr>
          <w:spacing w:val="-10"/>
        </w:rPr>
        <w:t>1.</w:t>
      </w:r>
      <w:r>
        <w:rPr>
          <w:spacing w:val="20"/>
        </w:rPr>
        <w:t xml:space="preserve"> </w:t>
      </w:r>
      <w:r>
        <w:rPr>
          <w:spacing w:val="-10"/>
        </w:rPr>
        <w:t>评价分</w:t>
      </w:r>
    </w:p>
    <w:p w14:paraId="4635E53F">
      <w:pPr>
        <w:pStyle w:val="2"/>
        <w:spacing w:before="225" w:line="369" w:lineRule="auto"/>
        <w:ind w:left="134" w:right="112" w:firstLine="556"/>
        <w:jc w:val="both"/>
      </w:pPr>
      <w:r>
        <w:rPr>
          <w:spacing w:val="3"/>
        </w:rPr>
        <w:t>评价分（</w:t>
      </w:r>
      <w:r>
        <w:t>Judgement</w:t>
      </w:r>
      <w:r>
        <w:rPr>
          <w:spacing w:val="3"/>
        </w:rPr>
        <w:t>）打分方式：2</w:t>
      </w:r>
      <w:r>
        <w:rPr>
          <w:spacing w:val="-45"/>
        </w:rPr>
        <w:t xml:space="preserve"> </w:t>
      </w:r>
      <w:r>
        <w:rPr>
          <w:spacing w:val="3"/>
        </w:rPr>
        <w:t>名裁判为一组，各自单独评</w:t>
      </w:r>
      <w:r>
        <w:t xml:space="preserve"> </w:t>
      </w:r>
      <w:r>
        <w:rPr>
          <w:spacing w:val="-4"/>
        </w:rPr>
        <w:t>分，填写权重分，分别计算出实际得分，最终取平均分。裁判相互间</w:t>
      </w:r>
      <w:r>
        <w:rPr>
          <w:spacing w:val="3"/>
        </w:rPr>
        <w:t xml:space="preserve"> </w:t>
      </w:r>
      <w:r>
        <w:rPr>
          <w:spacing w:val="-6"/>
        </w:rPr>
        <w:t>分差必须小于等于</w:t>
      </w:r>
      <w:r>
        <w:rPr>
          <w:spacing w:val="-30"/>
        </w:rPr>
        <w:t xml:space="preserve"> </w:t>
      </w:r>
      <w:r>
        <w:rPr>
          <w:spacing w:val="-6"/>
        </w:rPr>
        <w:t>1</w:t>
      </w:r>
      <w:r>
        <w:rPr>
          <w:spacing w:val="-47"/>
        </w:rPr>
        <w:t xml:space="preserve"> </w:t>
      </w:r>
      <w:r>
        <w:rPr>
          <w:spacing w:val="-6"/>
        </w:rPr>
        <w:t>分，否则需要给出确切理由并在裁判长的监督下</w:t>
      </w:r>
    </w:p>
    <w:p w14:paraId="1D7D9D3D">
      <w:pPr>
        <w:pStyle w:val="2"/>
        <w:spacing w:line="221" w:lineRule="auto"/>
        <w:ind w:left="133"/>
      </w:pPr>
      <w:r>
        <w:rPr>
          <w:spacing w:val="-4"/>
        </w:rPr>
        <w:t>进行更正。权重如表</w:t>
      </w:r>
      <w:r>
        <w:rPr>
          <w:spacing w:val="-58"/>
        </w:rPr>
        <w:t xml:space="preserve"> </w:t>
      </w:r>
      <w:r>
        <w:rPr>
          <w:spacing w:val="-4"/>
        </w:rPr>
        <w:t>4</w:t>
      </w:r>
      <w:r>
        <w:rPr>
          <w:spacing w:val="-50"/>
        </w:rPr>
        <w:t xml:space="preserve"> </w:t>
      </w:r>
      <w:r>
        <w:rPr>
          <w:spacing w:val="-4"/>
        </w:rPr>
        <w:t>所示。</w:t>
      </w:r>
    </w:p>
    <w:p w14:paraId="553A9200">
      <w:pPr>
        <w:pStyle w:val="2"/>
        <w:spacing w:before="224" w:line="223" w:lineRule="auto"/>
        <w:ind w:left="3762"/>
      </w:pPr>
      <w:r>
        <w:rPr>
          <w:spacing w:val="-9"/>
        </w:rPr>
        <w:t>表</w:t>
      </w:r>
      <w:r>
        <w:rPr>
          <w:spacing w:val="-65"/>
        </w:rPr>
        <w:t xml:space="preserve"> </w:t>
      </w:r>
      <w:r>
        <w:rPr>
          <w:spacing w:val="-9"/>
        </w:rPr>
        <w:t>4</w:t>
      </w:r>
      <w:r>
        <w:rPr>
          <w:spacing w:val="9"/>
        </w:rPr>
        <w:t xml:space="preserve">  </w:t>
      </w:r>
      <w:r>
        <w:rPr>
          <w:spacing w:val="-9"/>
        </w:rPr>
        <w:t>权重表</w:t>
      </w:r>
    </w:p>
    <w:p w14:paraId="51BDD2D3">
      <w:pPr>
        <w:spacing w:line="14" w:lineRule="exact"/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7012"/>
      </w:tblGrid>
      <w:tr w14:paraId="705F1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514" w:type="dxa"/>
            <w:vAlign w:val="top"/>
          </w:tcPr>
          <w:p w14:paraId="17533659">
            <w:pPr>
              <w:pStyle w:val="6"/>
              <w:spacing w:before="211" w:line="223" w:lineRule="auto"/>
              <w:ind w:left="211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权重分值</w:t>
            </w:r>
          </w:p>
        </w:tc>
        <w:tc>
          <w:tcPr>
            <w:tcW w:w="7012" w:type="dxa"/>
            <w:vAlign w:val="top"/>
          </w:tcPr>
          <w:p w14:paraId="292DE3D6">
            <w:pPr>
              <w:pStyle w:val="6"/>
              <w:spacing w:before="211" w:line="223" w:lineRule="auto"/>
              <w:ind w:left="2966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要求描述</w:t>
            </w:r>
          </w:p>
        </w:tc>
      </w:tr>
      <w:tr w14:paraId="031F88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14" w:type="dxa"/>
            <w:vAlign w:val="top"/>
          </w:tcPr>
          <w:p w14:paraId="30F697FD">
            <w:pPr>
              <w:pStyle w:val="6"/>
              <w:spacing w:before="210" w:line="224" w:lineRule="auto"/>
              <w:ind w:left="520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0</w:t>
            </w:r>
            <w:r>
              <w:rPr>
                <w:spacing w:val="-48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分</w:t>
            </w:r>
          </w:p>
        </w:tc>
        <w:tc>
          <w:tcPr>
            <w:tcW w:w="7012" w:type="dxa"/>
            <w:vAlign w:val="top"/>
          </w:tcPr>
          <w:p w14:paraId="6A0231FD">
            <w:pPr>
              <w:pStyle w:val="6"/>
              <w:spacing w:before="209" w:line="221" w:lineRule="auto"/>
              <w:ind w:left="2404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作品低于行业标准</w:t>
            </w:r>
          </w:p>
        </w:tc>
      </w:tr>
      <w:tr w14:paraId="55CAB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14" w:type="dxa"/>
            <w:vAlign w:val="top"/>
          </w:tcPr>
          <w:p w14:paraId="2C13A6A2">
            <w:pPr>
              <w:pStyle w:val="6"/>
              <w:spacing w:before="210" w:line="224" w:lineRule="auto"/>
              <w:ind w:left="539"/>
              <w:rPr>
                <w:sz w:val="28"/>
                <w:szCs w:val="28"/>
              </w:rPr>
            </w:pPr>
            <w:r>
              <w:rPr>
                <w:spacing w:val="-16"/>
                <w:sz w:val="28"/>
                <w:szCs w:val="28"/>
              </w:rPr>
              <w:t>1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pacing w:val="-16"/>
                <w:sz w:val="28"/>
                <w:szCs w:val="28"/>
              </w:rPr>
              <w:t>分</w:t>
            </w:r>
          </w:p>
        </w:tc>
        <w:tc>
          <w:tcPr>
            <w:tcW w:w="7012" w:type="dxa"/>
            <w:vAlign w:val="top"/>
          </w:tcPr>
          <w:p w14:paraId="1780E184">
            <w:pPr>
              <w:pStyle w:val="6"/>
              <w:spacing w:before="209" w:line="221" w:lineRule="auto"/>
              <w:ind w:left="2125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作品基本符合行业标准</w:t>
            </w:r>
          </w:p>
        </w:tc>
      </w:tr>
      <w:tr w14:paraId="77A1D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14" w:type="dxa"/>
            <w:vAlign w:val="top"/>
          </w:tcPr>
          <w:p w14:paraId="305C0855">
            <w:pPr>
              <w:pStyle w:val="6"/>
              <w:spacing w:before="212" w:line="224" w:lineRule="auto"/>
              <w:ind w:left="521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2</w:t>
            </w:r>
            <w:r>
              <w:rPr>
                <w:spacing w:val="-48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分</w:t>
            </w:r>
          </w:p>
        </w:tc>
        <w:tc>
          <w:tcPr>
            <w:tcW w:w="7012" w:type="dxa"/>
            <w:vAlign w:val="top"/>
          </w:tcPr>
          <w:p w14:paraId="1D12F0E5">
            <w:pPr>
              <w:pStyle w:val="6"/>
              <w:spacing w:before="211" w:line="220" w:lineRule="auto"/>
              <w:ind w:left="86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作品符合行业标准，但在某些方面略有不足</w:t>
            </w:r>
          </w:p>
        </w:tc>
      </w:tr>
      <w:tr w14:paraId="1193F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514" w:type="dxa"/>
            <w:vAlign w:val="top"/>
          </w:tcPr>
          <w:p w14:paraId="225082C7">
            <w:pPr>
              <w:pStyle w:val="6"/>
              <w:spacing w:before="212" w:line="224" w:lineRule="auto"/>
              <w:ind w:left="524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3</w:t>
            </w:r>
            <w:r>
              <w:rPr>
                <w:spacing w:val="-48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分</w:t>
            </w:r>
          </w:p>
        </w:tc>
        <w:tc>
          <w:tcPr>
            <w:tcW w:w="7012" w:type="dxa"/>
            <w:vAlign w:val="top"/>
          </w:tcPr>
          <w:p w14:paraId="3B4F754F">
            <w:pPr>
              <w:pStyle w:val="6"/>
              <w:spacing w:before="211" w:line="221" w:lineRule="auto"/>
              <w:ind w:left="128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作品全方位符合行业标准，接近完美</w:t>
            </w:r>
          </w:p>
        </w:tc>
      </w:tr>
    </w:tbl>
    <w:p w14:paraId="612132F0">
      <w:pPr>
        <w:pStyle w:val="2"/>
        <w:spacing w:before="207" w:line="224" w:lineRule="auto"/>
        <w:ind w:left="685"/>
      </w:pPr>
      <w:r>
        <w:rPr>
          <w:spacing w:val="-3"/>
        </w:rPr>
        <w:t>2.测量分</w:t>
      </w:r>
    </w:p>
    <w:p w14:paraId="456B4C0E">
      <w:pPr>
        <w:pStyle w:val="2"/>
        <w:spacing w:before="220" w:line="222" w:lineRule="auto"/>
        <w:ind w:left="690"/>
      </w:pPr>
      <w:r>
        <w:rPr>
          <w:spacing w:val="3"/>
        </w:rPr>
        <w:t>测量分（</w:t>
      </w:r>
      <w:r>
        <w:t>Measurement</w:t>
      </w:r>
      <w:r>
        <w:rPr>
          <w:spacing w:val="3"/>
        </w:rPr>
        <w:t>）打分方式：2</w:t>
      </w:r>
      <w:r>
        <w:rPr>
          <w:spacing w:val="-39"/>
        </w:rPr>
        <w:t xml:space="preserve"> </w:t>
      </w:r>
      <w:r>
        <w:rPr>
          <w:spacing w:val="3"/>
        </w:rPr>
        <w:t>名裁判为一组，各自单独</w:t>
      </w:r>
    </w:p>
    <w:p w14:paraId="5A3467A8">
      <w:pPr>
        <w:spacing w:line="222" w:lineRule="auto"/>
        <w:sectPr>
          <w:footerReference r:id="rId12" w:type="default"/>
          <w:pgSz w:w="11906" w:h="16839"/>
          <w:pgMar w:top="1431" w:right="1687" w:bottom="1142" w:left="1687" w:header="0" w:footer="979" w:gutter="0"/>
          <w:cols w:space="720" w:num="1"/>
        </w:sectPr>
      </w:pPr>
    </w:p>
    <w:p w14:paraId="7807FA8C">
      <w:pPr>
        <w:pStyle w:val="2"/>
        <w:spacing w:before="217" w:line="559" w:lineRule="exact"/>
        <w:ind w:left="33"/>
      </w:pPr>
      <w:r>
        <w:rPr>
          <w:spacing w:val="-4"/>
          <w:position w:val="21"/>
        </w:rPr>
        <w:t>评分。裁判打分一致时有效，否则需要给出确切理由并在裁判长的监</w:t>
      </w:r>
    </w:p>
    <w:p w14:paraId="0ED0706E">
      <w:pPr>
        <w:pStyle w:val="2"/>
        <w:spacing w:before="1" w:line="222" w:lineRule="auto"/>
        <w:ind w:left="40"/>
      </w:pPr>
      <w:r>
        <w:rPr>
          <w:spacing w:val="-4"/>
        </w:rPr>
        <w:t>督下重新评分。</w:t>
      </w:r>
    </w:p>
    <w:p w14:paraId="765FB214">
      <w:pPr>
        <w:pStyle w:val="2"/>
        <w:spacing w:before="221" w:line="220" w:lineRule="auto"/>
        <w:ind w:left="592"/>
      </w:pPr>
      <w:r>
        <w:rPr>
          <w:spacing w:val="-3"/>
        </w:rPr>
        <w:t>样例：模块测量分评判样例如表</w:t>
      </w:r>
      <w:r>
        <w:rPr>
          <w:spacing w:val="-53"/>
        </w:rPr>
        <w:t xml:space="preserve"> </w:t>
      </w:r>
      <w:r>
        <w:rPr>
          <w:spacing w:val="-3"/>
        </w:rPr>
        <w:t>5</w:t>
      </w:r>
      <w:r>
        <w:rPr>
          <w:spacing w:val="-52"/>
        </w:rPr>
        <w:t xml:space="preserve"> </w:t>
      </w:r>
      <w:r>
        <w:rPr>
          <w:spacing w:val="-3"/>
        </w:rPr>
        <w:t>所示。</w:t>
      </w:r>
    </w:p>
    <w:p w14:paraId="2F0D3CE8">
      <w:pPr>
        <w:pStyle w:val="2"/>
        <w:spacing w:before="227" w:line="220" w:lineRule="auto"/>
        <w:ind w:left="3171"/>
      </w:pPr>
      <w:r>
        <w:rPr>
          <w:spacing w:val="-4"/>
        </w:rPr>
        <w:t>表</w:t>
      </w:r>
      <w:r>
        <w:rPr>
          <w:spacing w:val="-50"/>
        </w:rPr>
        <w:t xml:space="preserve"> </w:t>
      </w:r>
      <w:r>
        <w:rPr>
          <w:spacing w:val="-4"/>
        </w:rPr>
        <w:t>5 测量分评判样例</w:t>
      </w:r>
    </w:p>
    <w:p w14:paraId="56FF177B">
      <w:pPr>
        <w:spacing w:line="17" w:lineRule="exact"/>
      </w:pPr>
    </w:p>
    <w:tbl>
      <w:tblPr>
        <w:tblStyle w:val="5"/>
        <w:tblW w:w="8088" w:type="dxa"/>
        <w:tblInd w:w="1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8"/>
        <w:gridCol w:w="4474"/>
        <w:gridCol w:w="964"/>
        <w:gridCol w:w="1422"/>
      </w:tblGrid>
      <w:tr w14:paraId="47EA5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228" w:type="dxa"/>
            <w:vAlign w:val="top"/>
          </w:tcPr>
          <w:p w14:paraId="6ABD329F">
            <w:pPr>
              <w:pStyle w:val="6"/>
              <w:spacing w:before="98" w:line="231" w:lineRule="auto"/>
              <w:ind w:left="203"/>
              <w:rPr>
                <w:sz w:val="20"/>
                <w:szCs w:val="20"/>
              </w:rPr>
            </w:pPr>
            <w:r>
              <w:rPr>
                <w:color w:val="0D0D0D"/>
                <w:spacing w:val="6"/>
                <w:sz w:val="20"/>
                <w:szCs w:val="20"/>
                <w14:textOutline w14:w="3795" w14:cap="sq" w14:cmpd="sng">
                  <w14:solidFill>
                    <w14:srgbClr w14:val="0D0D0D"/>
                  </w14:solidFill>
                  <w14:prstDash w14:val="solid"/>
                  <w14:bevel/>
                </w14:textOutline>
              </w:rPr>
              <w:t>评分子项</w:t>
            </w:r>
          </w:p>
        </w:tc>
        <w:tc>
          <w:tcPr>
            <w:tcW w:w="4474" w:type="dxa"/>
            <w:vAlign w:val="top"/>
          </w:tcPr>
          <w:p w14:paraId="41ED5987">
            <w:pPr>
              <w:pStyle w:val="6"/>
              <w:spacing w:before="98" w:line="231" w:lineRule="auto"/>
              <w:ind w:left="1826"/>
              <w:rPr>
                <w:sz w:val="20"/>
                <w:szCs w:val="20"/>
              </w:rPr>
            </w:pPr>
            <w:r>
              <w:rPr>
                <w:color w:val="0D0D0D"/>
                <w:spacing w:val="6"/>
                <w:sz w:val="20"/>
                <w:szCs w:val="20"/>
                <w14:textOutline w14:w="3795" w14:cap="sq" w14:cmpd="sng">
                  <w14:solidFill>
                    <w14:srgbClr w14:val="0D0D0D"/>
                  </w14:solidFill>
                  <w14:prstDash w14:val="solid"/>
                  <w14:bevel/>
                </w14:textOutline>
              </w:rPr>
              <w:t>评分细则</w:t>
            </w:r>
          </w:p>
        </w:tc>
        <w:tc>
          <w:tcPr>
            <w:tcW w:w="964" w:type="dxa"/>
            <w:vAlign w:val="top"/>
          </w:tcPr>
          <w:p w14:paraId="6C8979E3">
            <w:pPr>
              <w:pStyle w:val="6"/>
              <w:spacing w:before="98" w:line="232" w:lineRule="auto"/>
              <w:ind w:left="75"/>
              <w:rPr>
                <w:sz w:val="20"/>
                <w:szCs w:val="20"/>
              </w:rPr>
            </w:pPr>
            <w:r>
              <w:rPr>
                <w:color w:val="0D0D0D"/>
                <w:spacing w:val="6"/>
                <w:sz w:val="20"/>
                <w:szCs w:val="20"/>
                <w14:textOutline w14:w="3795" w14:cap="sq" w14:cmpd="sng">
                  <w14:solidFill>
                    <w14:srgbClr w14:val="0D0D0D"/>
                  </w14:solidFill>
                  <w14:prstDash w14:val="solid"/>
                  <w14:bevel/>
                </w14:textOutline>
              </w:rPr>
              <w:t>正确分值</w:t>
            </w:r>
          </w:p>
        </w:tc>
        <w:tc>
          <w:tcPr>
            <w:tcW w:w="1422" w:type="dxa"/>
            <w:vAlign w:val="top"/>
          </w:tcPr>
          <w:p w14:paraId="047D1201">
            <w:pPr>
              <w:pStyle w:val="6"/>
              <w:spacing w:before="98" w:line="231" w:lineRule="auto"/>
              <w:ind w:left="406"/>
              <w:rPr>
                <w:sz w:val="20"/>
                <w:szCs w:val="20"/>
              </w:rPr>
            </w:pPr>
            <w:r>
              <w:rPr>
                <w:color w:val="0D0D0D"/>
                <w:spacing w:val="5"/>
                <w:sz w:val="20"/>
                <w:szCs w:val="20"/>
                <w14:textOutline w14:w="3795" w14:cap="sq" w14:cmpd="sng">
                  <w14:solidFill>
                    <w14:srgbClr w14:val="0D0D0D"/>
                  </w14:solidFill>
                  <w14:prstDash w14:val="solid"/>
                  <w14:bevel/>
                </w14:textOutline>
              </w:rPr>
              <w:t>得分值</w:t>
            </w:r>
          </w:p>
        </w:tc>
      </w:tr>
      <w:tr w14:paraId="7A9EE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228" w:type="dxa"/>
            <w:vMerge w:val="restart"/>
            <w:tcBorders>
              <w:bottom w:val="nil"/>
            </w:tcBorders>
            <w:vAlign w:val="top"/>
          </w:tcPr>
          <w:p w14:paraId="30BD6C36">
            <w:pPr>
              <w:spacing w:line="379" w:lineRule="auto"/>
              <w:rPr>
                <w:rFonts w:ascii="Arial"/>
                <w:sz w:val="21"/>
              </w:rPr>
            </w:pPr>
          </w:p>
          <w:p w14:paraId="05895D36">
            <w:pPr>
              <w:pStyle w:val="6"/>
              <w:spacing w:before="65" w:line="259" w:lineRule="auto"/>
              <w:ind w:left="99" w:right="4" w:hanging="82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模块：移动应 </w:t>
            </w:r>
            <w:r>
              <w:rPr>
                <w:color w:val="0D0D0D"/>
                <w:spacing w:val="7"/>
                <w:sz w:val="20"/>
                <w:szCs w:val="20"/>
              </w:rPr>
              <w:t>用前端开发</w:t>
            </w:r>
          </w:p>
        </w:tc>
        <w:tc>
          <w:tcPr>
            <w:tcW w:w="4474" w:type="dxa"/>
            <w:vAlign w:val="top"/>
          </w:tcPr>
          <w:p w14:paraId="5C939260">
            <w:pPr>
              <w:pStyle w:val="6"/>
              <w:spacing w:before="129" w:line="227" w:lineRule="auto"/>
              <w:ind w:left="25"/>
              <w:rPr>
                <w:sz w:val="20"/>
                <w:szCs w:val="20"/>
              </w:rPr>
            </w:pPr>
            <w:r>
              <w:rPr>
                <w:color w:val="0D0D0D"/>
                <w:spacing w:val="7"/>
                <w:sz w:val="20"/>
                <w:szCs w:val="20"/>
              </w:rPr>
              <w:t>点击【详情】跳转至对应界面</w:t>
            </w:r>
          </w:p>
        </w:tc>
        <w:tc>
          <w:tcPr>
            <w:tcW w:w="964" w:type="dxa"/>
            <w:vAlign w:val="top"/>
          </w:tcPr>
          <w:p w14:paraId="2BF82A3F">
            <w:pPr>
              <w:pStyle w:val="6"/>
              <w:spacing w:before="165" w:line="186" w:lineRule="auto"/>
              <w:ind w:left="433"/>
              <w:rPr>
                <w:sz w:val="20"/>
                <w:szCs w:val="20"/>
              </w:rPr>
            </w:pPr>
            <w:r>
              <w:rPr>
                <w:color w:val="0D0D0D"/>
                <w:spacing w:val="2"/>
                <w:sz w:val="20"/>
                <w:szCs w:val="20"/>
              </w:rPr>
              <w:t>0.5</w:t>
            </w:r>
          </w:p>
        </w:tc>
        <w:tc>
          <w:tcPr>
            <w:tcW w:w="1422" w:type="dxa"/>
            <w:vAlign w:val="top"/>
          </w:tcPr>
          <w:p w14:paraId="20280DBF">
            <w:pPr>
              <w:pStyle w:val="6"/>
              <w:spacing w:before="165" w:line="186" w:lineRule="auto"/>
              <w:ind w:left="558"/>
              <w:rPr>
                <w:sz w:val="20"/>
                <w:szCs w:val="20"/>
              </w:rPr>
            </w:pPr>
            <w:r>
              <w:rPr>
                <w:color w:val="0D0D0D"/>
                <w:spacing w:val="2"/>
                <w:sz w:val="20"/>
                <w:szCs w:val="20"/>
              </w:rPr>
              <w:t>0.5</w:t>
            </w:r>
          </w:p>
        </w:tc>
      </w:tr>
      <w:tr w14:paraId="48AEC5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228" w:type="dxa"/>
            <w:vMerge w:val="continue"/>
            <w:tcBorders>
              <w:top w:val="nil"/>
            </w:tcBorders>
            <w:vAlign w:val="top"/>
          </w:tcPr>
          <w:p w14:paraId="1C63B8F8">
            <w:pPr>
              <w:rPr>
                <w:rFonts w:ascii="Arial"/>
                <w:sz w:val="21"/>
              </w:rPr>
            </w:pPr>
          </w:p>
        </w:tc>
        <w:tc>
          <w:tcPr>
            <w:tcW w:w="4474" w:type="dxa"/>
            <w:vAlign w:val="top"/>
          </w:tcPr>
          <w:p w14:paraId="623FDEBD">
            <w:pPr>
              <w:pStyle w:val="6"/>
              <w:spacing w:before="132" w:line="468" w:lineRule="exact"/>
              <w:ind w:left="19"/>
              <w:rPr>
                <w:sz w:val="20"/>
                <w:szCs w:val="20"/>
              </w:rPr>
            </w:pPr>
            <w:r>
              <w:rPr>
                <w:color w:val="0D0D0D"/>
                <w:spacing w:val="8"/>
                <w:position w:val="20"/>
                <w:sz w:val="20"/>
                <w:szCs w:val="20"/>
              </w:rPr>
              <w:t>列表项中包括标题、详情和缩略图[每少一个扣</w:t>
            </w:r>
          </w:p>
          <w:p w14:paraId="31E97181">
            <w:pPr>
              <w:pStyle w:val="6"/>
              <w:spacing w:line="232" w:lineRule="auto"/>
              <w:ind w:left="8"/>
              <w:rPr>
                <w:sz w:val="20"/>
                <w:szCs w:val="20"/>
              </w:rPr>
            </w:pPr>
            <w:r>
              <w:rPr>
                <w:color w:val="0D0D0D"/>
                <w:spacing w:val="1"/>
                <w:sz w:val="20"/>
                <w:szCs w:val="20"/>
              </w:rPr>
              <w:t>0.5</w:t>
            </w:r>
            <w:r>
              <w:rPr>
                <w:color w:val="0D0D0D"/>
                <w:spacing w:val="-33"/>
                <w:sz w:val="20"/>
                <w:szCs w:val="20"/>
              </w:rPr>
              <w:t xml:space="preserve"> </w:t>
            </w:r>
            <w:r>
              <w:rPr>
                <w:color w:val="0D0D0D"/>
                <w:spacing w:val="1"/>
                <w:sz w:val="20"/>
                <w:szCs w:val="20"/>
              </w:rPr>
              <w:t>分]</w:t>
            </w:r>
          </w:p>
        </w:tc>
        <w:tc>
          <w:tcPr>
            <w:tcW w:w="964" w:type="dxa"/>
            <w:vAlign w:val="top"/>
          </w:tcPr>
          <w:p w14:paraId="79CCB945">
            <w:pPr>
              <w:spacing w:line="333" w:lineRule="auto"/>
              <w:rPr>
                <w:rFonts w:ascii="Arial"/>
                <w:sz w:val="21"/>
              </w:rPr>
            </w:pPr>
          </w:p>
          <w:p w14:paraId="0438B54F">
            <w:pPr>
              <w:pStyle w:val="6"/>
              <w:spacing w:before="65" w:line="187" w:lineRule="auto"/>
              <w:ind w:left="447"/>
              <w:rPr>
                <w:sz w:val="20"/>
                <w:szCs w:val="20"/>
              </w:rPr>
            </w:pPr>
            <w:r>
              <w:rPr>
                <w:color w:val="0D0D0D"/>
                <w:spacing w:val="-4"/>
                <w:sz w:val="20"/>
                <w:szCs w:val="20"/>
              </w:rPr>
              <w:t>1.5</w:t>
            </w:r>
          </w:p>
        </w:tc>
        <w:tc>
          <w:tcPr>
            <w:tcW w:w="1422" w:type="dxa"/>
            <w:vAlign w:val="top"/>
          </w:tcPr>
          <w:p w14:paraId="062758A0">
            <w:pPr>
              <w:spacing w:line="333" w:lineRule="auto"/>
              <w:rPr>
                <w:rFonts w:ascii="Arial"/>
                <w:sz w:val="21"/>
              </w:rPr>
            </w:pPr>
          </w:p>
          <w:p w14:paraId="33A8BD13">
            <w:pPr>
              <w:pStyle w:val="6"/>
              <w:spacing w:before="65" w:line="187" w:lineRule="auto"/>
              <w:ind w:left="572"/>
              <w:rPr>
                <w:sz w:val="20"/>
                <w:szCs w:val="20"/>
              </w:rPr>
            </w:pPr>
            <w:r>
              <w:rPr>
                <w:color w:val="0D0D0D"/>
                <w:spacing w:val="-3"/>
                <w:sz w:val="20"/>
                <w:szCs w:val="20"/>
              </w:rPr>
              <w:t>1.0</w:t>
            </w:r>
          </w:p>
        </w:tc>
      </w:tr>
      <w:tr w14:paraId="5FAAE9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228" w:type="dxa"/>
            <w:vMerge w:val="restart"/>
            <w:tcBorders>
              <w:bottom w:val="nil"/>
            </w:tcBorders>
            <w:vAlign w:val="top"/>
          </w:tcPr>
          <w:p w14:paraId="3B0AA42B">
            <w:pPr>
              <w:pStyle w:val="6"/>
              <w:spacing w:before="59" w:line="232" w:lineRule="auto"/>
              <w:ind w:left="17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模块：移动应</w:t>
            </w:r>
          </w:p>
          <w:p w14:paraId="7358F4A6">
            <w:pPr>
              <w:pStyle w:val="6"/>
              <w:spacing w:before="60" w:line="232" w:lineRule="auto"/>
              <w:ind w:left="99"/>
              <w:rPr>
                <w:sz w:val="20"/>
                <w:szCs w:val="20"/>
              </w:rPr>
            </w:pPr>
            <w:r>
              <w:rPr>
                <w:color w:val="0D0D0D"/>
                <w:spacing w:val="7"/>
                <w:sz w:val="20"/>
                <w:szCs w:val="20"/>
              </w:rPr>
              <w:t>用测试与交</w:t>
            </w:r>
          </w:p>
          <w:p w14:paraId="49620F63">
            <w:pPr>
              <w:pStyle w:val="6"/>
              <w:spacing w:before="61" w:line="232" w:lineRule="auto"/>
              <w:ind w:left="519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付</w:t>
            </w:r>
          </w:p>
        </w:tc>
        <w:tc>
          <w:tcPr>
            <w:tcW w:w="4474" w:type="dxa"/>
            <w:vAlign w:val="top"/>
          </w:tcPr>
          <w:p w14:paraId="077333AE">
            <w:pPr>
              <w:pStyle w:val="6"/>
              <w:spacing w:before="133" w:line="229" w:lineRule="auto"/>
              <w:ind w:left="12"/>
              <w:rPr>
                <w:sz w:val="20"/>
                <w:szCs w:val="20"/>
              </w:rPr>
            </w:pPr>
            <w:r>
              <w:rPr>
                <w:color w:val="0D0D0D"/>
                <w:spacing w:val="7"/>
                <w:sz w:val="20"/>
                <w:szCs w:val="20"/>
              </w:rPr>
              <w:t>缺陷简要描述和截图正确且清晰给</w:t>
            </w:r>
            <w:r>
              <w:rPr>
                <w:color w:val="0D0D0D"/>
                <w:spacing w:val="-36"/>
                <w:sz w:val="20"/>
                <w:szCs w:val="20"/>
              </w:rPr>
              <w:t xml:space="preserve"> </w:t>
            </w:r>
            <w:r>
              <w:rPr>
                <w:color w:val="0D0D0D"/>
                <w:spacing w:val="7"/>
                <w:sz w:val="20"/>
                <w:szCs w:val="20"/>
              </w:rPr>
              <w:t>0.2</w:t>
            </w:r>
            <w:r>
              <w:rPr>
                <w:color w:val="0D0D0D"/>
                <w:spacing w:val="-30"/>
                <w:sz w:val="20"/>
                <w:szCs w:val="20"/>
              </w:rPr>
              <w:t xml:space="preserve"> </w:t>
            </w:r>
            <w:r>
              <w:rPr>
                <w:color w:val="0D0D0D"/>
                <w:spacing w:val="7"/>
                <w:sz w:val="20"/>
                <w:szCs w:val="20"/>
              </w:rPr>
              <w:t>分/个</w:t>
            </w:r>
          </w:p>
        </w:tc>
        <w:tc>
          <w:tcPr>
            <w:tcW w:w="964" w:type="dxa"/>
            <w:vAlign w:val="top"/>
          </w:tcPr>
          <w:p w14:paraId="7BF7356D">
            <w:pPr>
              <w:pStyle w:val="6"/>
              <w:spacing w:before="170" w:line="186" w:lineRule="auto"/>
              <w:ind w:left="433"/>
              <w:rPr>
                <w:sz w:val="20"/>
                <w:szCs w:val="20"/>
              </w:rPr>
            </w:pPr>
            <w:r>
              <w:rPr>
                <w:color w:val="0D0D0D"/>
                <w:spacing w:val="2"/>
                <w:sz w:val="20"/>
                <w:szCs w:val="20"/>
              </w:rPr>
              <w:t>0.4</w:t>
            </w:r>
          </w:p>
        </w:tc>
        <w:tc>
          <w:tcPr>
            <w:tcW w:w="1422" w:type="dxa"/>
            <w:vAlign w:val="top"/>
          </w:tcPr>
          <w:p w14:paraId="34A773AA">
            <w:pPr>
              <w:pStyle w:val="6"/>
              <w:spacing w:before="170" w:line="186" w:lineRule="auto"/>
              <w:ind w:left="558"/>
              <w:rPr>
                <w:sz w:val="20"/>
                <w:szCs w:val="20"/>
              </w:rPr>
            </w:pPr>
            <w:r>
              <w:rPr>
                <w:color w:val="0D0D0D"/>
                <w:spacing w:val="2"/>
                <w:sz w:val="20"/>
                <w:szCs w:val="20"/>
              </w:rPr>
              <w:t>0.4</w:t>
            </w:r>
          </w:p>
        </w:tc>
      </w:tr>
      <w:tr w14:paraId="7FFF9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228" w:type="dxa"/>
            <w:vMerge w:val="continue"/>
            <w:tcBorders>
              <w:top w:val="nil"/>
            </w:tcBorders>
            <w:vAlign w:val="top"/>
          </w:tcPr>
          <w:p w14:paraId="3385B59B">
            <w:pPr>
              <w:rPr>
                <w:rFonts w:ascii="Arial"/>
                <w:sz w:val="21"/>
              </w:rPr>
            </w:pPr>
          </w:p>
        </w:tc>
        <w:tc>
          <w:tcPr>
            <w:tcW w:w="4474" w:type="dxa"/>
            <w:vAlign w:val="top"/>
          </w:tcPr>
          <w:p w14:paraId="14D48C38">
            <w:pPr>
              <w:pStyle w:val="6"/>
              <w:spacing w:before="134" w:line="228" w:lineRule="auto"/>
              <w:ind w:left="12"/>
              <w:rPr>
                <w:sz w:val="20"/>
                <w:szCs w:val="20"/>
              </w:rPr>
            </w:pPr>
            <w:r>
              <w:rPr>
                <w:color w:val="0D0D0D"/>
                <w:spacing w:val="7"/>
                <w:sz w:val="20"/>
                <w:szCs w:val="20"/>
              </w:rPr>
              <w:t>缺陷重现步骤和判定缺陷程度正确给</w:t>
            </w:r>
            <w:r>
              <w:rPr>
                <w:color w:val="0D0D0D"/>
                <w:spacing w:val="-30"/>
                <w:sz w:val="20"/>
                <w:szCs w:val="20"/>
              </w:rPr>
              <w:t xml:space="preserve"> </w:t>
            </w:r>
            <w:r>
              <w:rPr>
                <w:color w:val="0D0D0D"/>
                <w:spacing w:val="7"/>
                <w:sz w:val="20"/>
                <w:szCs w:val="20"/>
              </w:rPr>
              <w:t>0.2</w:t>
            </w:r>
            <w:r>
              <w:rPr>
                <w:color w:val="0D0D0D"/>
                <w:spacing w:val="-32"/>
                <w:sz w:val="20"/>
                <w:szCs w:val="20"/>
              </w:rPr>
              <w:t xml:space="preserve"> </w:t>
            </w:r>
            <w:r>
              <w:rPr>
                <w:color w:val="0D0D0D"/>
                <w:spacing w:val="7"/>
                <w:sz w:val="20"/>
                <w:szCs w:val="20"/>
              </w:rPr>
              <w:t>分/个</w:t>
            </w:r>
          </w:p>
        </w:tc>
        <w:tc>
          <w:tcPr>
            <w:tcW w:w="964" w:type="dxa"/>
            <w:vAlign w:val="top"/>
          </w:tcPr>
          <w:p w14:paraId="66C38455">
            <w:pPr>
              <w:pStyle w:val="6"/>
              <w:spacing w:before="170" w:line="186" w:lineRule="auto"/>
              <w:ind w:left="433"/>
              <w:rPr>
                <w:sz w:val="20"/>
                <w:szCs w:val="20"/>
              </w:rPr>
            </w:pPr>
            <w:r>
              <w:rPr>
                <w:color w:val="0D0D0D"/>
                <w:spacing w:val="1"/>
                <w:sz w:val="20"/>
                <w:szCs w:val="20"/>
              </w:rPr>
              <w:t>0.4</w:t>
            </w:r>
          </w:p>
        </w:tc>
        <w:tc>
          <w:tcPr>
            <w:tcW w:w="1422" w:type="dxa"/>
            <w:vAlign w:val="top"/>
          </w:tcPr>
          <w:p w14:paraId="51E31A51">
            <w:pPr>
              <w:pStyle w:val="6"/>
              <w:spacing w:before="170" w:line="186" w:lineRule="auto"/>
              <w:ind w:left="558"/>
              <w:rPr>
                <w:sz w:val="20"/>
                <w:szCs w:val="20"/>
              </w:rPr>
            </w:pPr>
            <w:r>
              <w:rPr>
                <w:color w:val="0D0D0D"/>
                <w:spacing w:val="2"/>
                <w:sz w:val="20"/>
                <w:szCs w:val="20"/>
              </w:rPr>
              <w:t>0.4</w:t>
            </w:r>
          </w:p>
        </w:tc>
      </w:tr>
    </w:tbl>
    <w:p w14:paraId="0B5D0A00">
      <w:pPr>
        <w:pStyle w:val="2"/>
        <w:spacing w:before="207" w:line="220" w:lineRule="auto"/>
        <w:ind w:left="592"/>
      </w:pPr>
      <w:r>
        <w:rPr>
          <w:spacing w:val="-2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（三）评分点及样例</w:t>
      </w:r>
    </w:p>
    <w:p w14:paraId="5B489057">
      <w:pPr>
        <w:pStyle w:val="2"/>
        <w:spacing w:before="228" w:line="223" w:lineRule="auto"/>
        <w:ind w:left="592"/>
      </w:pPr>
      <w:r>
        <w:rPr>
          <w:spacing w:val="-5"/>
        </w:rPr>
        <w:t>评分考核点如表</w:t>
      </w:r>
      <w:r>
        <w:rPr>
          <w:spacing w:val="-53"/>
        </w:rPr>
        <w:t xml:space="preserve"> </w:t>
      </w:r>
      <w:r>
        <w:rPr>
          <w:spacing w:val="-5"/>
        </w:rPr>
        <w:t>6</w:t>
      </w:r>
      <w:r>
        <w:rPr>
          <w:spacing w:val="-50"/>
        </w:rPr>
        <w:t xml:space="preserve"> </w:t>
      </w:r>
      <w:r>
        <w:rPr>
          <w:spacing w:val="-5"/>
        </w:rPr>
        <w:t>所示。</w:t>
      </w:r>
    </w:p>
    <w:p w14:paraId="294D858B">
      <w:pPr>
        <w:spacing w:before="59" w:line="220" w:lineRule="auto"/>
        <w:ind w:left="338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color w:val="0D0D0D"/>
          <w:spacing w:val="-3"/>
          <w:sz w:val="22"/>
          <w:szCs w:val="22"/>
        </w:rPr>
        <w:t>表</w:t>
      </w:r>
      <w:r>
        <w:rPr>
          <w:rFonts w:ascii="宋体" w:hAnsi="宋体" w:eastAsia="宋体" w:cs="宋体"/>
          <w:color w:val="0D0D0D"/>
          <w:spacing w:val="-48"/>
          <w:sz w:val="22"/>
          <w:szCs w:val="22"/>
        </w:rPr>
        <w:t xml:space="preserve"> </w:t>
      </w:r>
      <w:r>
        <w:rPr>
          <w:rFonts w:ascii="Arial Narrow" w:hAnsi="Arial Narrow" w:eastAsia="Arial Narrow" w:cs="Arial Narrow"/>
          <w:color w:val="0D0D0D"/>
          <w:spacing w:val="-3"/>
          <w:sz w:val="22"/>
          <w:szCs w:val="22"/>
        </w:rPr>
        <w:t>6</w:t>
      </w:r>
      <w:r>
        <w:rPr>
          <w:rFonts w:ascii="Arial Narrow" w:hAnsi="Arial Narrow" w:eastAsia="Arial Narrow" w:cs="Arial Narrow"/>
          <w:color w:val="0D0D0D"/>
          <w:spacing w:val="8"/>
          <w:sz w:val="22"/>
          <w:szCs w:val="22"/>
        </w:rPr>
        <w:t xml:space="preserve">  </w:t>
      </w:r>
      <w:r>
        <w:rPr>
          <w:rFonts w:ascii="宋体" w:hAnsi="宋体" w:eastAsia="宋体" w:cs="宋体"/>
          <w:color w:val="0D0D0D"/>
          <w:spacing w:val="-3"/>
          <w:sz w:val="22"/>
          <w:szCs w:val="22"/>
        </w:rPr>
        <w:t>评分考核点</w:t>
      </w:r>
    </w:p>
    <w:p w14:paraId="38CF597A">
      <w:pPr>
        <w:spacing w:line="125" w:lineRule="exact"/>
      </w:pPr>
    </w:p>
    <w:tbl>
      <w:tblPr>
        <w:tblStyle w:val="5"/>
        <w:tblW w:w="8129" w:type="dxa"/>
        <w:tblInd w:w="10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6"/>
        <w:gridCol w:w="1542"/>
        <w:gridCol w:w="3371"/>
        <w:gridCol w:w="893"/>
        <w:gridCol w:w="1007"/>
      </w:tblGrid>
      <w:tr w14:paraId="14AB5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316" w:type="dxa"/>
            <w:vAlign w:val="top"/>
          </w:tcPr>
          <w:p w14:paraId="7900BD49">
            <w:pPr>
              <w:pStyle w:val="6"/>
              <w:spacing w:before="54" w:line="232" w:lineRule="auto"/>
              <w:ind w:left="45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模块</w:t>
            </w:r>
          </w:p>
        </w:tc>
        <w:tc>
          <w:tcPr>
            <w:tcW w:w="1542" w:type="dxa"/>
            <w:vAlign w:val="top"/>
          </w:tcPr>
          <w:p w14:paraId="2AC5F342">
            <w:pPr>
              <w:pStyle w:val="6"/>
              <w:spacing w:before="55" w:line="231" w:lineRule="auto"/>
              <w:ind w:left="465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考查点</w:t>
            </w:r>
          </w:p>
        </w:tc>
        <w:tc>
          <w:tcPr>
            <w:tcW w:w="3371" w:type="dxa"/>
            <w:vAlign w:val="top"/>
          </w:tcPr>
          <w:p w14:paraId="06DA2D87">
            <w:pPr>
              <w:pStyle w:val="6"/>
              <w:spacing w:before="54" w:line="232" w:lineRule="auto"/>
              <w:ind w:left="148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描述</w:t>
            </w:r>
          </w:p>
        </w:tc>
        <w:tc>
          <w:tcPr>
            <w:tcW w:w="893" w:type="dxa"/>
            <w:vAlign w:val="top"/>
          </w:tcPr>
          <w:p w14:paraId="3E234C38">
            <w:pPr>
              <w:pStyle w:val="6"/>
              <w:spacing w:before="55" w:line="231" w:lineRule="auto"/>
              <w:ind w:left="24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权重</w:t>
            </w:r>
          </w:p>
        </w:tc>
        <w:tc>
          <w:tcPr>
            <w:tcW w:w="1007" w:type="dxa"/>
            <w:vAlign w:val="top"/>
          </w:tcPr>
          <w:p w14:paraId="4FD0F316">
            <w:pPr>
              <w:pStyle w:val="6"/>
              <w:spacing w:before="55" w:line="231" w:lineRule="auto"/>
              <w:ind w:left="95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评分标准</w:t>
            </w:r>
          </w:p>
        </w:tc>
      </w:tr>
      <w:tr w14:paraId="0DD09C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316" w:type="dxa"/>
            <w:vMerge w:val="restart"/>
            <w:tcBorders>
              <w:bottom w:val="nil"/>
            </w:tcBorders>
            <w:vAlign w:val="top"/>
          </w:tcPr>
          <w:p w14:paraId="55400C2A">
            <w:pPr>
              <w:spacing w:line="246" w:lineRule="auto"/>
              <w:rPr>
                <w:rFonts w:ascii="Arial"/>
                <w:sz w:val="21"/>
              </w:rPr>
            </w:pPr>
          </w:p>
          <w:p w14:paraId="5EAAC9D9">
            <w:pPr>
              <w:spacing w:line="247" w:lineRule="auto"/>
              <w:rPr>
                <w:rFonts w:ascii="Arial"/>
                <w:sz w:val="21"/>
              </w:rPr>
            </w:pPr>
          </w:p>
          <w:p w14:paraId="343EA762">
            <w:pPr>
              <w:spacing w:line="247" w:lineRule="auto"/>
              <w:rPr>
                <w:rFonts w:ascii="Arial"/>
                <w:sz w:val="21"/>
              </w:rPr>
            </w:pPr>
          </w:p>
          <w:p w14:paraId="46D8CD5E">
            <w:pPr>
              <w:spacing w:line="247" w:lineRule="auto"/>
              <w:rPr>
                <w:rFonts w:ascii="Arial"/>
                <w:sz w:val="21"/>
              </w:rPr>
            </w:pPr>
          </w:p>
          <w:p w14:paraId="50780895">
            <w:pPr>
              <w:spacing w:line="247" w:lineRule="auto"/>
              <w:rPr>
                <w:rFonts w:ascii="Arial"/>
                <w:sz w:val="21"/>
              </w:rPr>
            </w:pPr>
          </w:p>
          <w:p w14:paraId="5D8A5B4C">
            <w:pPr>
              <w:pStyle w:val="6"/>
              <w:spacing w:before="65" w:line="259" w:lineRule="auto"/>
              <w:ind w:left="18" w:right="5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模块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A：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移动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应用界面设计</w:t>
            </w:r>
          </w:p>
        </w:tc>
        <w:tc>
          <w:tcPr>
            <w:tcW w:w="1542" w:type="dxa"/>
            <w:vAlign w:val="top"/>
          </w:tcPr>
          <w:p w14:paraId="275FA051">
            <w:pPr>
              <w:spacing w:line="299" w:lineRule="auto"/>
              <w:rPr>
                <w:rFonts w:ascii="Arial"/>
                <w:sz w:val="21"/>
              </w:rPr>
            </w:pPr>
          </w:p>
          <w:p w14:paraId="20CB7811">
            <w:pPr>
              <w:pStyle w:val="6"/>
              <w:spacing w:before="65" w:line="258" w:lineRule="auto"/>
              <w:ind w:left="9" w:right="11" w:firstLine="55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图像处理工具及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UI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设计工具操作</w:t>
            </w:r>
          </w:p>
        </w:tc>
        <w:tc>
          <w:tcPr>
            <w:tcW w:w="3371" w:type="dxa"/>
            <w:vAlign w:val="top"/>
          </w:tcPr>
          <w:p w14:paraId="2DCFF12F">
            <w:pPr>
              <w:pStyle w:val="6"/>
              <w:spacing w:before="52" w:line="274" w:lineRule="auto"/>
              <w:ind w:left="13" w:right="1" w:firstLine="6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熟练使用图像处理工具及</w:t>
            </w:r>
            <w:r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UI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设计工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25"/>
                <w:sz w:val="20"/>
                <w:szCs w:val="20"/>
              </w:rPr>
              <w:t>具，如</w:t>
            </w:r>
            <w:r>
              <w:rPr>
                <w:spacing w:val="-4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Adobe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Photoshop</w:t>
            </w:r>
            <w:r>
              <w:rPr>
                <w:spacing w:val="25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Adobe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XD</w:t>
            </w:r>
            <w:r>
              <w:rPr>
                <w:spacing w:val="25"/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了解工具设计、原型、共享、工具面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板的使用。</w:t>
            </w:r>
          </w:p>
        </w:tc>
        <w:tc>
          <w:tcPr>
            <w:tcW w:w="893" w:type="dxa"/>
            <w:vAlign w:val="top"/>
          </w:tcPr>
          <w:p w14:paraId="0ACF90CC">
            <w:pPr>
              <w:spacing w:line="453" w:lineRule="auto"/>
              <w:rPr>
                <w:rFonts w:ascii="Arial"/>
                <w:sz w:val="21"/>
              </w:rPr>
            </w:pPr>
          </w:p>
          <w:p w14:paraId="1F3E0315">
            <w:pPr>
              <w:pStyle w:val="6"/>
              <w:spacing w:before="65" w:line="271" w:lineRule="exact"/>
              <w:ind w:left="309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15%</w:t>
            </w:r>
          </w:p>
        </w:tc>
        <w:tc>
          <w:tcPr>
            <w:tcW w:w="1007" w:type="dxa"/>
            <w:vMerge w:val="restart"/>
            <w:tcBorders>
              <w:bottom w:val="nil"/>
            </w:tcBorders>
            <w:vAlign w:val="top"/>
          </w:tcPr>
          <w:p w14:paraId="34A06E09">
            <w:pPr>
              <w:spacing w:line="259" w:lineRule="auto"/>
              <w:rPr>
                <w:rFonts w:ascii="Arial"/>
                <w:sz w:val="21"/>
              </w:rPr>
            </w:pPr>
          </w:p>
          <w:p w14:paraId="0E88F4DD">
            <w:pPr>
              <w:spacing w:line="259" w:lineRule="auto"/>
              <w:rPr>
                <w:rFonts w:ascii="Arial"/>
                <w:sz w:val="21"/>
              </w:rPr>
            </w:pPr>
          </w:p>
          <w:p w14:paraId="62E754A5">
            <w:pPr>
              <w:spacing w:line="259" w:lineRule="auto"/>
              <w:rPr>
                <w:rFonts w:ascii="Arial"/>
                <w:sz w:val="21"/>
              </w:rPr>
            </w:pPr>
          </w:p>
          <w:p w14:paraId="0C8B2746">
            <w:pPr>
              <w:spacing w:line="259" w:lineRule="auto"/>
              <w:rPr>
                <w:rFonts w:ascii="Arial"/>
                <w:sz w:val="21"/>
              </w:rPr>
            </w:pPr>
          </w:p>
          <w:p w14:paraId="6F39F9CA">
            <w:pPr>
              <w:spacing w:line="259" w:lineRule="auto"/>
              <w:rPr>
                <w:rFonts w:ascii="Arial"/>
                <w:sz w:val="21"/>
              </w:rPr>
            </w:pPr>
          </w:p>
          <w:p w14:paraId="2EEF3CDB">
            <w:pPr>
              <w:spacing w:line="259" w:lineRule="auto"/>
              <w:rPr>
                <w:rFonts w:ascii="Arial"/>
                <w:sz w:val="21"/>
              </w:rPr>
            </w:pPr>
          </w:p>
          <w:p w14:paraId="2B13CB5A">
            <w:pPr>
              <w:spacing w:line="259" w:lineRule="auto"/>
              <w:rPr>
                <w:rFonts w:ascii="Arial"/>
                <w:sz w:val="21"/>
              </w:rPr>
            </w:pPr>
          </w:p>
          <w:p w14:paraId="1D6539E1">
            <w:pPr>
              <w:spacing w:line="259" w:lineRule="auto"/>
              <w:rPr>
                <w:rFonts w:ascii="Arial"/>
                <w:sz w:val="21"/>
              </w:rPr>
            </w:pPr>
          </w:p>
          <w:p w14:paraId="58F8299E">
            <w:pPr>
              <w:spacing w:line="259" w:lineRule="auto"/>
              <w:rPr>
                <w:rFonts w:ascii="Arial"/>
                <w:sz w:val="21"/>
              </w:rPr>
            </w:pPr>
          </w:p>
          <w:p w14:paraId="7BFE5003">
            <w:pPr>
              <w:spacing w:line="259" w:lineRule="auto"/>
              <w:rPr>
                <w:rFonts w:ascii="Arial"/>
                <w:sz w:val="21"/>
              </w:rPr>
            </w:pPr>
          </w:p>
          <w:p w14:paraId="142E6D6C">
            <w:pPr>
              <w:spacing w:line="259" w:lineRule="auto"/>
              <w:rPr>
                <w:rFonts w:ascii="Arial"/>
                <w:sz w:val="21"/>
              </w:rPr>
            </w:pPr>
          </w:p>
          <w:p w14:paraId="2D6D9299">
            <w:pPr>
              <w:spacing w:line="260" w:lineRule="auto"/>
              <w:rPr>
                <w:rFonts w:ascii="Arial"/>
                <w:sz w:val="21"/>
              </w:rPr>
            </w:pPr>
          </w:p>
          <w:p w14:paraId="389B7B0F">
            <w:pPr>
              <w:pStyle w:val="6"/>
              <w:spacing w:before="65" w:line="259" w:lineRule="auto"/>
              <w:ind w:left="46" w:right="28" w:firstLine="52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结果评分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（测量+评</w:t>
            </w:r>
          </w:p>
          <w:p w14:paraId="5C20A2F8">
            <w:pPr>
              <w:pStyle w:val="6"/>
              <w:spacing w:before="61" w:line="231" w:lineRule="auto"/>
              <w:ind w:left="30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价）</w:t>
            </w:r>
          </w:p>
          <w:p w14:paraId="2CC1FA65">
            <w:pPr>
              <w:pStyle w:val="6"/>
              <w:spacing w:before="61" w:line="269" w:lineRule="auto"/>
              <w:ind w:left="94" w:right="83" w:firstLine="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（裁判随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机抽取分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组独立评</w:t>
            </w:r>
          </w:p>
          <w:p w14:paraId="7127305A">
            <w:pPr>
              <w:pStyle w:val="6"/>
              <w:spacing w:before="62" w:line="232" w:lineRule="auto"/>
              <w:ind w:left="30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分）</w:t>
            </w:r>
          </w:p>
        </w:tc>
      </w:tr>
      <w:tr w14:paraId="10957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316" w:type="dxa"/>
            <w:vMerge w:val="continue"/>
            <w:tcBorders>
              <w:top w:val="nil"/>
            </w:tcBorders>
            <w:vAlign w:val="top"/>
          </w:tcPr>
          <w:p w14:paraId="1CDA91D8">
            <w:pPr>
              <w:rPr>
                <w:rFonts w:ascii="Arial"/>
                <w:sz w:val="21"/>
              </w:rPr>
            </w:pPr>
          </w:p>
        </w:tc>
        <w:tc>
          <w:tcPr>
            <w:tcW w:w="1542" w:type="dxa"/>
            <w:vAlign w:val="top"/>
          </w:tcPr>
          <w:p w14:paraId="286F0ECF">
            <w:pPr>
              <w:spacing w:line="305" w:lineRule="auto"/>
              <w:rPr>
                <w:rFonts w:ascii="Arial"/>
                <w:sz w:val="21"/>
              </w:rPr>
            </w:pPr>
          </w:p>
          <w:p w14:paraId="0233D66E">
            <w:pPr>
              <w:spacing w:line="305" w:lineRule="auto"/>
              <w:rPr>
                <w:rFonts w:ascii="Arial"/>
                <w:sz w:val="21"/>
              </w:rPr>
            </w:pPr>
          </w:p>
          <w:p w14:paraId="777B15BD">
            <w:pPr>
              <w:pStyle w:val="6"/>
              <w:spacing w:before="65" w:line="259" w:lineRule="auto"/>
              <w:ind w:left="257" w:right="6" w:hanging="242"/>
              <w:rPr>
                <w:sz w:val="20"/>
                <w:szCs w:val="20"/>
              </w:rPr>
            </w:pPr>
            <w:r>
              <w:rPr>
                <w:spacing w:val="11"/>
                <w:sz w:val="20"/>
                <w:szCs w:val="20"/>
              </w:rPr>
              <w:t>移动设备</w:t>
            </w:r>
            <w:r>
              <w:rPr>
                <w:sz w:val="20"/>
                <w:szCs w:val="20"/>
              </w:rPr>
              <w:t>UI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平面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及交互设计</w:t>
            </w:r>
          </w:p>
        </w:tc>
        <w:tc>
          <w:tcPr>
            <w:tcW w:w="3371" w:type="dxa"/>
            <w:vAlign w:val="top"/>
          </w:tcPr>
          <w:p w14:paraId="2F605FFB">
            <w:pPr>
              <w:pStyle w:val="6"/>
              <w:spacing w:before="54" w:line="258" w:lineRule="auto"/>
              <w:ind w:left="2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熟练使用用户界面（UI）的设计方法；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掌握组件布局方法；</w:t>
            </w:r>
          </w:p>
          <w:p w14:paraId="5D324524">
            <w:pPr>
              <w:pStyle w:val="6"/>
              <w:spacing w:before="64" w:line="231" w:lineRule="auto"/>
              <w:ind w:left="2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熟练掌握正确的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UI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配色方案；</w:t>
            </w:r>
          </w:p>
          <w:p w14:paraId="49E095CD">
            <w:pPr>
              <w:pStyle w:val="6"/>
              <w:spacing w:before="62" w:line="259" w:lineRule="auto"/>
              <w:ind w:left="20" w:right="2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熟练使用用户体验（</w:t>
            </w:r>
            <w:r>
              <w:rPr>
                <w:sz w:val="20"/>
                <w:szCs w:val="20"/>
              </w:rPr>
              <w:t>UE</w:t>
            </w:r>
            <w:r>
              <w:rPr>
                <w:spacing w:val="2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UX</w:t>
            </w:r>
            <w:r>
              <w:rPr>
                <w:spacing w:val="2"/>
                <w:sz w:val="20"/>
                <w:szCs w:val="20"/>
              </w:rPr>
              <w:t>）的设计方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法；</w:t>
            </w:r>
          </w:p>
          <w:p w14:paraId="20025144">
            <w:pPr>
              <w:pStyle w:val="6"/>
              <w:spacing w:before="61" w:line="231" w:lineRule="auto"/>
              <w:ind w:left="20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熟练掌握软件交互设计。</w:t>
            </w:r>
          </w:p>
        </w:tc>
        <w:tc>
          <w:tcPr>
            <w:tcW w:w="893" w:type="dxa"/>
            <w:vAlign w:val="top"/>
          </w:tcPr>
          <w:p w14:paraId="0E23905F">
            <w:pPr>
              <w:spacing w:line="254" w:lineRule="auto"/>
              <w:rPr>
                <w:rFonts w:ascii="Arial"/>
                <w:sz w:val="21"/>
              </w:rPr>
            </w:pPr>
          </w:p>
          <w:p w14:paraId="1C667A5F">
            <w:pPr>
              <w:spacing w:line="255" w:lineRule="auto"/>
              <w:rPr>
                <w:rFonts w:ascii="Arial"/>
                <w:sz w:val="21"/>
              </w:rPr>
            </w:pPr>
          </w:p>
          <w:p w14:paraId="4BD3EE95">
            <w:pPr>
              <w:spacing w:line="255" w:lineRule="auto"/>
              <w:rPr>
                <w:rFonts w:ascii="Arial"/>
                <w:sz w:val="21"/>
              </w:rPr>
            </w:pPr>
          </w:p>
          <w:p w14:paraId="0A695182">
            <w:pPr>
              <w:pStyle w:val="6"/>
              <w:spacing w:before="65" w:line="270" w:lineRule="exact"/>
              <w:ind w:left="309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15%</w:t>
            </w:r>
          </w:p>
        </w:tc>
        <w:tc>
          <w:tcPr>
            <w:tcW w:w="1007" w:type="dxa"/>
            <w:vMerge w:val="continue"/>
            <w:tcBorders>
              <w:top w:val="nil"/>
              <w:bottom w:val="nil"/>
            </w:tcBorders>
            <w:vAlign w:val="top"/>
          </w:tcPr>
          <w:p w14:paraId="3D799461">
            <w:pPr>
              <w:rPr>
                <w:rFonts w:ascii="Arial"/>
                <w:sz w:val="21"/>
              </w:rPr>
            </w:pPr>
          </w:p>
        </w:tc>
      </w:tr>
      <w:tr w14:paraId="68FAD1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16" w:type="dxa"/>
            <w:vMerge w:val="restart"/>
            <w:tcBorders>
              <w:bottom w:val="nil"/>
            </w:tcBorders>
            <w:vAlign w:val="top"/>
          </w:tcPr>
          <w:p w14:paraId="32D31241">
            <w:pPr>
              <w:spacing w:line="258" w:lineRule="auto"/>
              <w:rPr>
                <w:rFonts w:ascii="Arial"/>
                <w:sz w:val="21"/>
              </w:rPr>
            </w:pPr>
          </w:p>
          <w:p w14:paraId="3AA263AF">
            <w:pPr>
              <w:spacing w:line="258" w:lineRule="auto"/>
              <w:rPr>
                <w:rFonts w:ascii="Arial"/>
                <w:sz w:val="21"/>
              </w:rPr>
            </w:pPr>
          </w:p>
          <w:p w14:paraId="0A0C0A48">
            <w:pPr>
              <w:spacing w:line="258" w:lineRule="auto"/>
              <w:rPr>
                <w:rFonts w:ascii="Arial"/>
                <w:sz w:val="21"/>
              </w:rPr>
            </w:pPr>
          </w:p>
          <w:p w14:paraId="55E2BB44">
            <w:pPr>
              <w:spacing w:line="258" w:lineRule="auto"/>
              <w:rPr>
                <w:rFonts w:ascii="Arial"/>
                <w:sz w:val="21"/>
              </w:rPr>
            </w:pPr>
          </w:p>
          <w:p w14:paraId="2439EDF7">
            <w:pPr>
              <w:spacing w:line="258" w:lineRule="auto"/>
              <w:rPr>
                <w:rFonts w:ascii="Arial"/>
                <w:sz w:val="21"/>
              </w:rPr>
            </w:pPr>
          </w:p>
          <w:p w14:paraId="64D15EBC">
            <w:pPr>
              <w:spacing w:line="259" w:lineRule="auto"/>
              <w:rPr>
                <w:rFonts w:ascii="Arial"/>
                <w:sz w:val="21"/>
              </w:rPr>
            </w:pPr>
          </w:p>
          <w:p w14:paraId="4B3D8FB5">
            <w:pPr>
              <w:pStyle w:val="6"/>
              <w:spacing w:before="65" w:line="259" w:lineRule="auto"/>
              <w:ind w:left="18" w:right="5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模块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B：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移动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应用前端开发</w:t>
            </w:r>
          </w:p>
        </w:tc>
        <w:tc>
          <w:tcPr>
            <w:tcW w:w="1542" w:type="dxa"/>
            <w:vAlign w:val="top"/>
          </w:tcPr>
          <w:p w14:paraId="140D00BA">
            <w:pPr>
              <w:pStyle w:val="6"/>
              <w:spacing w:before="54" w:line="260" w:lineRule="auto"/>
              <w:ind w:left="676" w:right="37" w:hanging="63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移动前端基础编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程</w:t>
            </w:r>
          </w:p>
        </w:tc>
        <w:tc>
          <w:tcPr>
            <w:tcW w:w="3371" w:type="dxa"/>
            <w:vAlign w:val="top"/>
          </w:tcPr>
          <w:p w14:paraId="50BC6410">
            <w:pPr>
              <w:pStyle w:val="6"/>
              <w:spacing w:before="55" w:line="256" w:lineRule="auto"/>
              <w:ind w:left="16" w:firstLine="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熟练掌握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Java、Kotlin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移动端框架编 程或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HTML5、CSS3、JavaScript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编程。</w:t>
            </w:r>
          </w:p>
        </w:tc>
        <w:tc>
          <w:tcPr>
            <w:tcW w:w="893" w:type="dxa"/>
            <w:vAlign w:val="top"/>
          </w:tcPr>
          <w:p w14:paraId="46719D32">
            <w:pPr>
              <w:pStyle w:val="6"/>
              <w:spacing w:before="210" w:line="271" w:lineRule="exact"/>
              <w:ind w:left="309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10%</w:t>
            </w:r>
          </w:p>
        </w:tc>
        <w:tc>
          <w:tcPr>
            <w:tcW w:w="1007" w:type="dxa"/>
            <w:vMerge w:val="continue"/>
            <w:tcBorders>
              <w:top w:val="nil"/>
              <w:bottom w:val="nil"/>
            </w:tcBorders>
            <w:vAlign w:val="top"/>
          </w:tcPr>
          <w:p w14:paraId="7943D968">
            <w:pPr>
              <w:rPr>
                <w:rFonts w:ascii="Arial"/>
                <w:sz w:val="21"/>
              </w:rPr>
            </w:pPr>
          </w:p>
        </w:tc>
      </w:tr>
      <w:tr w14:paraId="6736A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316" w:type="dxa"/>
            <w:vMerge w:val="continue"/>
            <w:tcBorders>
              <w:top w:val="nil"/>
              <w:bottom w:val="nil"/>
            </w:tcBorders>
            <w:vAlign w:val="top"/>
          </w:tcPr>
          <w:p w14:paraId="5CF00D37">
            <w:pPr>
              <w:rPr>
                <w:rFonts w:ascii="Arial"/>
                <w:sz w:val="21"/>
              </w:rPr>
            </w:pPr>
          </w:p>
        </w:tc>
        <w:tc>
          <w:tcPr>
            <w:tcW w:w="1542" w:type="dxa"/>
            <w:vAlign w:val="top"/>
          </w:tcPr>
          <w:p w14:paraId="65729F7A">
            <w:pPr>
              <w:spacing w:line="255" w:lineRule="auto"/>
              <w:rPr>
                <w:rFonts w:ascii="Arial"/>
                <w:sz w:val="21"/>
              </w:rPr>
            </w:pPr>
          </w:p>
          <w:p w14:paraId="35C7BEFF">
            <w:pPr>
              <w:spacing w:line="255" w:lineRule="auto"/>
              <w:rPr>
                <w:rFonts w:ascii="Arial"/>
                <w:sz w:val="21"/>
              </w:rPr>
            </w:pPr>
          </w:p>
          <w:p w14:paraId="54C0C31F">
            <w:pPr>
              <w:spacing w:line="255" w:lineRule="auto"/>
              <w:rPr>
                <w:rFonts w:ascii="Arial"/>
                <w:sz w:val="21"/>
              </w:rPr>
            </w:pPr>
          </w:p>
          <w:p w14:paraId="01707B8D">
            <w:pPr>
              <w:pStyle w:val="6"/>
              <w:spacing w:before="65" w:line="231" w:lineRule="auto"/>
              <w:ind w:left="2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UI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还原设计</w:t>
            </w:r>
          </w:p>
        </w:tc>
        <w:tc>
          <w:tcPr>
            <w:tcW w:w="3371" w:type="dxa"/>
            <w:vAlign w:val="top"/>
          </w:tcPr>
          <w:p w14:paraId="581A9481">
            <w:pPr>
              <w:pStyle w:val="6"/>
              <w:spacing w:before="56" w:line="259" w:lineRule="auto"/>
              <w:ind w:left="20" w:right="4" w:firstLine="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能够基于产品原型还原产品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UI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设计;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2"/>
                <w:sz w:val="20"/>
                <w:szCs w:val="20"/>
              </w:rPr>
              <w:t>熟练使用</w:t>
            </w:r>
            <w:r>
              <w:rPr>
                <w:spacing w:val="-4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Android</w:t>
            </w:r>
            <w:r>
              <w:rPr>
                <w:spacing w:val="12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HTML</w:t>
            </w:r>
            <w:r>
              <w:rPr>
                <w:spacing w:val="12"/>
                <w:sz w:val="20"/>
                <w:szCs w:val="20"/>
              </w:rPr>
              <w:t>5、</w:t>
            </w:r>
            <w:r>
              <w:rPr>
                <w:sz w:val="20"/>
                <w:szCs w:val="20"/>
              </w:rPr>
              <w:t>CSS</w:t>
            </w:r>
            <w:r>
              <w:rPr>
                <w:spacing w:val="12"/>
                <w:sz w:val="20"/>
                <w:szCs w:val="20"/>
              </w:rPr>
              <w:t>3、</w:t>
            </w:r>
          </w:p>
          <w:p w14:paraId="7F755D4B">
            <w:pPr>
              <w:pStyle w:val="6"/>
              <w:spacing w:before="62" w:line="259" w:lineRule="auto"/>
              <w:ind w:left="14" w:right="163" w:hanging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JavaScript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下常用组件进行布局设</w:t>
            </w:r>
            <w:r>
              <w:rPr>
                <w:sz w:val="20"/>
                <w:szCs w:val="20"/>
              </w:rPr>
              <w:t xml:space="preserve"> 计;</w:t>
            </w:r>
          </w:p>
          <w:p w14:paraId="03F01F77">
            <w:pPr>
              <w:pStyle w:val="6"/>
              <w:spacing w:before="62" w:line="259" w:lineRule="auto"/>
              <w:ind w:left="18" w:right="7" w:firstLine="1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熟练使用一些主流的第三方控件和自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定义控件。</w:t>
            </w:r>
          </w:p>
        </w:tc>
        <w:tc>
          <w:tcPr>
            <w:tcW w:w="893" w:type="dxa"/>
            <w:vAlign w:val="top"/>
          </w:tcPr>
          <w:p w14:paraId="79F7F191">
            <w:pPr>
              <w:spacing w:line="255" w:lineRule="auto"/>
              <w:rPr>
                <w:rFonts w:ascii="Arial"/>
                <w:sz w:val="21"/>
              </w:rPr>
            </w:pPr>
          </w:p>
          <w:p w14:paraId="5A50253F">
            <w:pPr>
              <w:spacing w:line="255" w:lineRule="auto"/>
              <w:rPr>
                <w:rFonts w:ascii="Arial"/>
                <w:sz w:val="21"/>
              </w:rPr>
            </w:pPr>
          </w:p>
          <w:p w14:paraId="268E82AA">
            <w:pPr>
              <w:spacing w:line="255" w:lineRule="auto"/>
              <w:rPr>
                <w:rFonts w:ascii="Arial"/>
                <w:sz w:val="21"/>
              </w:rPr>
            </w:pPr>
          </w:p>
          <w:p w14:paraId="73569C1D">
            <w:pPr>
              <w:pStyle w:val="6"/>
              <w:spacing w:before="65" w:line="270" w:lineRule="exact"/>
              <w:ind w:left="309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15%</w:t>
            </w:r>
          </w:p>
        </w:tc>
        <w:tc>
          <w:tcPr>
            <w:tcW w:w="1007" w:type="dxa"/>
            <w:vMerge w:val="continue"/>
            <w:tcBorders>
              <w:top w:val="nil"/>
              <w:bottom w:val="nil"/>
            </w:tcBorders>
            <w:vAlign w:val="top"/>
          </w:tcPr>
          <w:p w14:paraId="13DBDD33">
            <w:pPr>
              <w:rPr>
                <w:rFonts w:ascii="Arial"/>
                <w:sz w:val="21"/>
              </w:rPr>
            </w:pPr>
          </w:p>
        </w:tc>
      </w:tr>
      <w:tr w14:paraId="523F45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1316" w:type="dxa"/>
            <w:vMerge w:val="continue"/>
            <w:tcBorders>
              <w:top w:val="nil"/>
            </w:tcBorders>
            <w:vAlign w:val="top"/>
          </w:tcPr>
          <w:p w14:paraId="3C5AB722">
            <w:pPr>
              <w:rPr>
                <w:rFonts w:ascii="Arial"/>
                <w:sz w:val="21"/>
              </w:rPr>
            </w:pPr>
          </w:p>
        </w:tc>
        <w:tc>
          <w:tcPr>
            <w:tcW w:w="1542" w:type="dxa"/>
            <w:vAlign w:val="top"/>
          </w:tcPr>
          <w:p w14:paraId="5210C23D">
            <w:pPr>
              <w:spacing w:line="455" w:lineRule="auto"/>
              <w:rPr>
                <w:rFonts w:ascii="Arial"/>
                <w:sz w:val="21"/>
              </w:rPr>
            </w:pPr>
          </w:p>
          <w:p w14:paraId="3492B08D">
            <w:pPr>
              <w:pStyle w:val="6"/>
              <w:spacing w:before="65" w:line="228" w:lineRule="auto"/>
              <w:ind w:left="149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业务逻辑实现</w:t>
            </w:r>
          </w:p>
        </w:tc>
        <w:tc>
          <w:tcPr>
            <w:tcW w:w="3371" w:type="dxa"/>
            <w:vAlign w:val="top"/>
          </w:tcPr>
          <w:p w14:paraId="003C6A14">
            <w:pPr>
              <w:pStyle w:val="6"/>
              <w:spacing w:before="57" w:line="274" w:lineRule="auto"/>
              <w:ind w:left="13" w:firstLine="2"/>
              <w:jc w:val="both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理解</w:t>
            </w:r>
            <w:r>
              <w:rPr>
                <w:spacing w:val="-45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App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产品需求描述，实现其功能；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设计业务中的领域实体，理解业务规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则，保持数据完整性，实现业务工作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流。</w:t>
            </w:r>
          </w:p>
        </w:tc>
        <w:tc>
          <w:tcPr>
            <w:tcW w:w="893" w:type="dxa"/>
            <w:vAlign w:val="top"/>
          </w:tcPr>
          <w:p w14:paraId="004268A5">
            <w:pPr>
              <w:spacing w:line="456" w:lineRule="auto"/>
              <w:rPr>
                <w:rFonts w:ascii="Arial"/>
                <w:sz w:val="21"/>
              </w:rPr>
            </w:pPr>
          </w:p>
          <w:p w14:paraId="56A07FC4">
            <w:pPr>
              <w:pStyle w:val="6"/>
              <w:spacing w:before="65" w:line="270" w:lineRule="exact"/>
              <w:ind w:left="309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15%</w:t>
            </w:r>
          </w:p>
        </w:tc>
        <w:tc>
          <w:tcPr>
            <w:tcW w:w="1007" w:type="dxa"/>
            <w:vMerge w:val="continue"/>
            <w:tcBorders>
              <w:top w:val="nil"/>
            </w:tcBorders>
            <w:vAlign w:val="top"/>
          </w:tcPr>
          <w:p w14:paraId="3B27B160">
            <w:pPr>
              <w:rPr>
                <w:rFonts w:ascii="Arial"/>
                <w:sz w:val="21"/>
              </w:rPr>
            </w:pPr>
          </w:p>
        </w:tc>
      </w:tr>
    </w:tbl>
    <w:p w14:paraId="5A01FB79">
      <w:pPr>
        <w:rPr>
          <w:rFonts w:ascii="Arial"/>
          <w:sz w:val="21"/>
        </w:rPr>
      </w:pPr>
    </w:p>
    <w:p w14:paraId="7824D65B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6" w:h="16839"/>
          <w:pgMar w:top="1431" w:right="1785" w:bottom="1142" w:left="1785" w:header="0" w:footer="979" w:gutter="0"/>
          <w:cols w:space="720" w:num="1"/>
        </w:sectPr>
      </w:pPr>
    </w:p>
    <w:p w14:paraId="75C75826">
      <w:pPr>
        <w:spacing w:line="91" w:lineRule="auto"/>
        <w:rPr>
          <w:rFonts w:ascii="Arial"/>
          <w:sz w:val="2"/>
        </w:rPr>
      </w:pPr>
    </w:p>
    <w:tbl>
      <w:tblPr>
        <w:tblStyle w:val="5"/>
        <w:tblW w:w="8129" w:type="dxa"/>
        <w:tblInd w:w="10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6"/>
        <w:gridCol w:w="1542"/>
        <w:gridCol w:w="3371"/>
        <w:gridCol w:w="893"/>
        <w:gridCol w:w="1007"/>
      </w:tblGrid>
      <w:tr w14:paraId="1373F9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1316" w:type="dxa"/>
            <w:vAlign w:val="top"/>
          </w:tcPr>
          <w:p w14:paraId="2E8C597E">
            <w:pPr>
              <w:rPr>
                <w:rFonts w:ascii="Arial"/>
                <w:sz w:val="21"/>
              </w:rPr>
            </w:pPr>
          </w:p>
        </w:tc>
        <w:tc>
          <w:tcPr>
            <w:tcW w:w="1542" w:type="dxa"/>
            <w:vAlign w:val="top"/>
          </w:tcPr>
          <w:p w14:paraId="0D96CF3E">
            <w:pPr>
              <w:spacing w:line="456" w:lineRule="auto"/>
              <w:rPr>
                <w:rFonts w:ascii="Arial"/>
                <w:sz w:val="21"/>
              </w:rPr>
            </w:pPr>
          </w:p>
          <w:p w14:paraId="638CD49F">
            <w:pPr>
              <w:pStyle w:val="6"/>
              <w:spacing w:before="65" w:line="230" w:lineRule="auto"/>
              <w:ind w:left="3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网络编程</w:t>
            </w:r>
          </w:p>
        </w:tc>
        <w:tc>
          <w:tcPr>
            <w:tcW w:w="3371" w:type="dxa"/>
            <w:vAlign w:val="top"/>
          </w:tcPr>
          <w:p w14:paraId="5C68B737">
            <w:pPr>
              <w:pStyle w:val="6"/>
              <w:spacing w:before="57" w:line="258" w:lineRule="auto"/>
              <w:ind w:left="1" w:right="425" w:firstLine="18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熟练应用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App</w:t>
            </w:r>
            <w:r>
              <w:rPr>
                <w:spacing w:val="4"/>
                <w:sz w:val="20"/>
                <w:szCs w:val="20"/>
              </w:rPr>
              <w:t xml:space="preserve"> 网络通信技术，如</w:t>
            </w:r>
            <w:r>
              <w:rPr>
                <w:sz w:val="20"/>
                <w:szCs w:val="20"/>
              </w:rPr>
              <w:t xml:space="preserve"> Android</w:t>
            </w:r>
            <w:r>
              <w:rPr>
                <w:spacing w:val="7"/>
                <w:sz w:val="20"/>
                <w:szCs w:val="20"/>
              </w:rPr>
              <w:t xml:space="preserve"> 中常用的网络请求框架</w:t>
            </w:r>
          </w:p>
          <w:p w14:paraId="5027343A">
            <w:pPr>
              <w:pStyle w:val="6"/>
              <w:spacing w:before="64" w:line="256" w:lineRule="auto"/>
              <w:ind w:left="15" w:right="7" w:hanging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Volley</w:t>
            </w:r>
            <w:r>
              <w:rPr>
                <w:spacing w:val="25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OkHttp</w:t>
            </w:r>
            <w:r>
              <w:rPr>
                <w:spacing w:val="25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retrofit</w:t>
            </w:r>
            <w:r>
              <w:rPr>
                <w:spacing w:val="25"/>
                <w:sz w:val="20"/>
                <w:szCs w:val="20"/>
              </w:rPr>
              <w:t>，前端技</w:t>
            </w:r>
            <w:r>
              <w:rPr>
                <w:spacing w:val="4"/>
                <w:sz w:val="20"/>
                <w:szCs w:val="20"/>
              </w:rPr>
              <w:t xml:space="preserve"> 术中的</w:t>
            </w:r>
            <w:r>
              <w:rPr>
                <w:spacing w:val="-4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Ajax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等。</w:t>
            </w:r>
          </w:p>
        </w:tc>
        <w:tc>
          <w:tcPr>
            <w:tcW w:w="893" w:type="dxa"/>
            <w:vAlign w:val="top"/>
          </w:tcPr>
          <w:p w14:paraId="17AF320F">
            <w:pPr>
              <w:spacing w:line="456" w:lineRule="auto"/>
              <w:rPr>
                <w:rFonts w:ascii="Arial"/>
                <w:sz w:val="21"/>
              </w:rPr>
            </w:pPr>
          </w:p>
          <w:p w14:paraId="1BDE96C8">
            <w:pPr>
              <w:pStyle w:val="6"/>
              <w:spacing w:before="65" w:line="271" w:lineRule="exact"/>
              <w:ind w:left="309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10%</w:t>
            </w:r>
          </w:p>
        </w:tc>
        <w:tc>
          <w:tcPr>
            <w:tcW w:w="1007" w:type="dxa"/>
            <w:vMerge w:val="restart"/>
            <w:tcBorders>
              <w:bottom w:val="nil"/>
            </w:tcBorders>
            <w:vAlign w:val="top"/>
          </w:tcPr>
          <w:p w14:paraId="5D950000">
            <w:pPr>
              <w:rPr>
                <w:rFonts w:ascii="Arial"/>
                <w:sz w:val="21"/>
              </w:rPr>
            </w:pPr>
          </w:p>
        </w:tc>
      </w:tr>
      <w:tr w14:paraId="112A6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316" w:type="dxa"/>
            <w:vMerge w:val="restart"/>
            <w:tcBorders>
              <w:bottom w:val="nil"/>
            </w:tcBorders>
            <w:vAlign w:val="top"/>
          </w:tcPr>
          <w:p w14:paraId="38963577">
            <w:pPr>
              <w:spacing w:line="305" w:lineRule="auto"/>
              <w:rPr>
                <w:rFonts w:ascii="Arial"/>
                <w:sz w:val="21"/>
              </w:rPr>
            </w:pPr>
          </w:p>
          <w:p w14:paraId="738C0EC2">
            <w:pPr>
              <w:pStyle w:val="6"/>
              <w:spacing w:before="65" w:line="269" w:lineRule="auto"/>
              <w:ind w:left="18" w:right="5"/>
              <w:jc w:val="both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模块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C：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移动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4"/>
                <w:sz w:val="20"/>
                <w:szCs w:val="20"/>
              </w:rPr>
              <w:t>应用测试与交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付</w:t>
            </w:r>
          </w:p>
        </w:tc>
        <w:tc>
          <w:tcPr>
            <w:tcW w:w="1542" w:type="dxa"/>
            <w:vAlign w:val="top"/>
          </w:tcPr>
          <w:p w14:paraId="56AD25B5">
            <w:pPr>
              <w:spacing w:line="299" w:lineRule="auto"/>
              <w:rPr>
                <w:rFonts w:ascii="Arial"/>
                <w:sz w:val="21"/>
              </w:rPr>
            </w:pPr>
          </w:p>
          <w:p w14:paraId="49EE1D18">
            <w:pPr>
              <w:pStyle w:val="6"/>
              <w:spacing w:before="65" w:line="230" w:lineRule="auto"/>
              <w:ind w:left="35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缺陷分析</w:t>
            </w:r>
          </w:p>
        </w:tc>
        <w:tc>
          <w:tcPr>
            <w:tcW w:w="3371" w:type="dxa"/>
            <w:vAlign w:val="top"/>
          </w:tcPr>
          <w:p w14:paraId="1ABF87AA">
            <w:pPr>
              <w:pStyle w:val="6"/>
              <w:spacing w:before="54" w:line="258" w:lineRule="auto"/>
              <w:ind w:left="13" w:right="7" w:firstLine="12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能够记录测试结果并进行测试过程分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析和评估；</w:t>
            </w:r>
          </w:p>
          <w:p w14:paraId="0A67DD24">
            <w:pPr>
              <w:pStyle w:val="6"/>
              <w:spacing w:before="64" w:line="230" w:lineRule="auto"/>
              <w:ind w:left="2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能够汇总测试结果以生成最终报告。</w:t>
            </w:r>
          </w:p>
        </w:tc>
        <w:tc>
          <w:tcPr>
            <w:tcW w:w="893" w:type="dxa"/>
            <w:vAlign w:val="top"/>
          </w:tcPr>
          <w:p w14:paraId="67768020">
            <w:pPr>
              <w:spacing w:line="299" w:lineRule="auto"/>
              <w:rPr>
                <w:rFonts w:ascii="Arial"/>
                <w:sz w:val="21"/>
              </w:rPr>
            </w:pPr>
          </w:p>
          <w:p w14:paraId="599A6B0E">
            <w:pPr>
              <w:pStyle w:val="6"/>
              <w:spacing w:before="65" w:line="270" w:lineRule="exact"/>
              <w:ind w:left="309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10%</w:t>
            </w:r>
          </w:p>
        </w:tc>
        <w:tc>
          <w:tcPr>
            <w:tcW w:w="1007" w:type="dxa"/>
            <w:vMerge w:val="continue"/>
            <w:tcBorders>
              <w:top w:val="nil"/>
            </w:tcBorders>
            <w:vAlign w:val="top"/>
          </w:tcPr>
          <w:p w14:paraId="50D9B216">
            <w:pPr>
              <w:rPr>
                <w:rFonts w:ascii="Arial"/>
                <w:sz w:val="21"/>
              </w:rPr>
            </w:pPr>
          </w:p>
        </w:tc>
      </w:tr>
      <w:tr w14:paraId="357B8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316" w:type="dxa"/>
            <w:vMerge w:val="continue"/>
            <w:tcBorders>
              <w:top w:val="nil"/>
            </w:tcBorders>
            <w:vAlign w:val="top"/>
          </w:tcPr>
          <w:p w14:paraId="0CEDBA38">
            <w:pPr>
              <w:rPr>
                <w:rFonts w:ascii="Arial"/>
                <w:sz w:val="21"/>
              </w:rPr>
            </w:pPr>
          </w:p>
        </w:tc>
        <w:tc>
          <w:tcPr>
            <w:tcW w:w="1542" w:type="dxa"/>
            <w:vAlign w:val="top"/>
          </w:tcPr>
          <w:p w14:paraId="047BAE9B">
            <w:pPr>
              <w:pStyle w:val="6"/>
              <w:spacing w:before="211" w:line="232" w:lineRule="auto"/>
              <w:ind w:left="362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产品交付</w:t>
            </w:r>
          </w:p>
        </w:tc>
        <w:tc>
          <w:tcPr>
            <w:tcW w:w="3371" w:type="dxa"/>
            <w:vAlign w:val="top"/>
          </w:tcPr>
          <w:p w14:paraId="37936FB3">
            <w:pPr>
              <w:pStyle w:val="6"/>
              <w:spacing w:before="56" w:line="259" w:lineRule="auto"/>
              <w:ind w:left="16" w:right="216" w:firstLine="10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能够分析给定应用的功能与业务流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程，编写产品使用手册。</w:t>
            </w:r>
          </w:p>
        </w:tc>
        <w:tc>
          <w:tcPr>
            <w:tcW w:w="893" w:type="dxa"/>
            <w:vAlign w:val="top"/>
          </w:tcPr>
          <w:p w14:paraId="5C207478">
            <w:pPr>
              <w:pStyle w:val="6"/>
              <w:spacing w:before="211" w:line="271" w:lineRule="exact"/>
              <w:ind w:left="309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10%</w:t>
            </w:r>
          </w:p>
        </w:tc>
        <w:tc>
          <w:tcPr>
            <w:tcW w:w="1007" w:type="dxa"/>
            <w:vAlign w:val="top"/>
          </w:tcPr>
          <w:p w14:paraId="51651848">
            <w:pPr>
              <w:rPr>
                <w:rFonts w:ascii="Arial"/>
                <w:sz w:val="21"/>
              </w:rPr>
            </w:pPr>
          </w:p>
        </w:tc>
      </w:tr>
    </w:tbl>
    <w:p w14:paraId="16B1F492">
      <w:pPr>
        <w:spacing w:before="206" w:line="222" w:lineRule="auto"/>
        <w:ind w:left="60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5"/>
          <w:sz w:val="28"/>
          <w:szCs w:val="28"/>
        </w:rPr>
        <w:t>（四）评分方法</w:t>
      </w:r>
    </w:p>
    <w:p w14:paraId="743AD7A2">
      <w:pPr>
        <w:pStyle w:val="2"/>
        <w:spacing w:before="225" w:line="223" w:lineRule="auto"/>
        <w:ind w:left="603"/>
      </w:pPr>
      <w:r>
        <w:rPr>
          <w:spacing w:val="-9"/>
        </w:rPr>
        <w:t>1.</w:t>
      </w:r>
      <w:r>
        <w:rPr>
          <w:spacing w:val="27"/>
        </w:rPr>
        <w:t xml:space="preserve"> </w:t>
      </w:r>
      <w:r>
        <w:rPr>
          <w:spacing w:val="-9"/>
        </w:rPr>
        <w:t>竞赛满分为</w:t>
      </w:r>
      <w:r>
        <w:rPr>
          <w:spacing w:val="-40"/>
        </w:rPr>
        <w:t xml:space="preserve"> </w:t>
      </w:r>
      <w:r>
        <w:rPr>
          <w:spacing w:val="-9"/>
        </w:rPr>
        <w:t>100</w:t>
      </w:r>
      <w:r>
        <w:rPr>
          <w:spacing w:val="-49"/>
        </w:rPr>
        <w:t xml:space="preserve"> </w:t>
      </w:r>
      <w:r>
        <w:rPr>
          <w:spacing w:val="-9"/>
        </w:rPr>
        <w:t>分。</w:t>
      </w:r>
    </w:p>
    <w:p w14:paraId="0AE88C6B">
      <w:pPr>
        <w:pStyle w:val="2"/>
        <w:spacing w:before="220" w:line="560" w:lineRule="exact"/>
        <w:ind w:right="32"/>
        <w:jc w:val="right"/>
      </w:pPr>
      <w:r>
        <w:rPr>
          <w:spacing w:val="1"/>
          <w:position w:val="20"/>
        </w:rPr>
        <w:t>2. 各参赛队总成绩=移动应用界面设计模块得分 + 移动应用前</w:t>
      </w:r>
    </w:p>
    <w:p w14:paraId="731ED445">
      <w:pPr>
        <w:pStyle w:val="2"/>
        <w:spacing w:before="1" w:line="222" w:lineRule="auto"/>
        <w:ind w:left="34"/>
      </w:pPr>
      <w:r>
        <w:rPr>
          <w:spacing w:val="-1"/>
        </w:rPr>
        <w:t>端开发模块得分 + 移动应用测试与交付模块得分。</w:t>
      </w:r>
    </w:p>
    <w:p w14:paraId="37DD2584">
      <w:pPr>
        <w:pStyle w:val="2"/>
        <w:spacing w:before="223" w:line="559" w:lineRule="exact"/>
        <w:ind w:right="35"/>
        <w:jc w:val="right"/>
      </w:pPr>
      <w:r>
        <w:rPr>
          <w:spacing w:val="1"/>
          <w:position w:val="20"/>
        </w:rPr>
        <w:t>3. 本赛项配备裁判若干人，其中包括裁判长、评分裁判、加密</w:t>
      </w:r>
    </w:p>
    <w:p w14:paraId="08C918AA">
      <w:pPr>
        <w:pStyle w:val="2"/>
        <w:spacing w:before="1" w:line="223" w:lineRule="auto"/>
        <w:ind w:left="37"/>
      </w:pPr>
      <w:r>
        <w:rPr>
          <w:spacing w:val="-3"/>
        </w:rPr>
        <w:t>裁判、现场裁判。</w:t>
      </w:r>
    </w:p>
    <w:p w14:paraId="7C1426D8">
      <w:pPr>
        <w:pStyle w:val="2"/>
        <w:spacing w:before="221" w:line="369" w:lineRule="auto"/>
        <w:ind w:left="34" w:firstLine="547"/>
      </w:pPr>
      <w:r>
        <w:rPr>
          <w:spacing w:val="2"/>
        </w:rPr>
        <w:t>4. 裁判对参赛队伍提交的作品采取评价分和测量分结合评分。</w:t>
      </w:r>
      <w:r>
        <w:rPr>
          <w:spacing w:val="14"/>
        </w:rPr>
        <w:t xml:space="preserve"> </w:t>
      </w:r>
      <w:r>
        <w:rPr>
          <w:spacing w:val="-4"/>
        </w:rPr>
        <w:t>采取分步得分、累计总分的计分方式。各环节分别计算得分，错误不</w:t>
      </w:r>
      <w:r>
        <w:rPr>
          <w:spacing w:val="4"/>
        </w:rPr>
        <w:t xml:space="preserve"> </w:t>
      </w:r>
      <w:r>
        <w:rPr>
          <w:spacing w:val="-3"/>
        </w:rPr>
        <w:t>传递，按规定比例计入团队总分。根据赛题模块情况进行任务划分，</w:t>
      </w:r>
    </w:p>
    <w:p w14:paraId="61DCA03F">
      <w:pPr>
        <w:pStyle w:val="2"/>
        <w:spacing w:before="1" w:line="221" w:lineRule="auto"/>
        <w:ind w:left="36"/>
      </w:pPr>
      <w:r>
        <w:rPr>
          <w:spacing w:val="-2"/>
        </w:rPr>
        <w:t>分组评分裁判负责模块任务进行独立评分。</w:t>
      </w:r>
    </w:p>
    <w:p w14:paraId="2B61483D">
      <w:pPr>
        <w:pStyle w:val="2"/>
        <w:spacing w:before="225" w:line="560" w:lineRule="exact"/>
        <w:ind w:right="35"/>
        <w:jc w:val="right"/>
      </w:pPr>
      <w:r>
        <w:rPr>
          <w:spacing w:val="1"/>
          <w:position w:val="21"/>
        </w:rPr>
        <w:t>5. 裁判长正式提交全部模块评分结果并复核无误后，在督察员</w:t>
      </w:r>
    </w:p>
    <w:p w14:paraId="6C1E8541">
      <w:pPr>
        <w:pStyle w:val="2"/>
        <w:spacing w:line="221" w:lineRule="auto"/>
        <w:ind w:left="40"/>
      </w:pPr>
      <w:r>
        <w:rPr>
          <w:spacing w:val="-2"/>
        </w:rPr>
        <w:t>监督下进行评分，加密赛位号到参赛队名称解密。</w:t>
      </w:r>
    </w:p>
    <w:p w14:paraId="6007AD5F">
      <w:pPr>
        <w:pStyle w:val="2"/>
        <w:spacing w:before="222" w:line="370" w:lineRule="auto"/>
        <w:ind w:left="49" w:right="33" w:firstLine="536"/>
      </w:pPr>
      <w:r>
        <w:rPr>
          <w:spacing w:val="3"/>
        </w:rPr>
        <w:t>6. 为保障成绩评判的准确性，督察员对赛项总成绩排名前</w:t>
      </w:r>
      <w:r>
        <w:rPr>
          <w:spacing w:val="-53"/>
        </w:rPr>
        <w:t xml:space="preserve"> </w:t>
      </w:r>
      <w:r>
        <w:rPr>
          <w:spacing w:val="3"/>
        </w:rPr>
        <w:t>6</w:t>
      </w:r>
      <w:r>
        <w:rPr>
          <w:spacing w:val="2"/>
        </w:rPr>
        <w:t>0%</w:t>
      </w:r>
      <w:r>
        <w:t xml:space="preserve"> </w:t>
      </w:r>
      <w:r>
        <w:rPr>
          <w:spacing w:val="-3"/>
        </w:rPr>
        <w:t>的成绩进行复核，其中前</w:t>
      </w:r>
      <w:r>
        <w:rPr>
          <w:spacing w:val="-37"/>
        </w:rPr>
        <w:t xml:space="preserve"> </w:t>
      </w:r>
      <w:r>
        <w:rPr>
          <w:spacing w:val="-3"/>
        </w:rPr>
        <w:t>15%的成绩进行全部复核，其余成绩进行抽</w:t>
      </w:r>
    </w:p>
    <w:p w14:paraId="2809A31B">
      <w:pPr>
        <w:pStyle w:val="2"/>
        <w:spacing w:before="1" w:line="220" w:lineRule="auto"/>
        <w:ind w:left="34"/>
      </w:pPr>
      <w:r>
        <w:rPr>
          <w:spacing w:val="-3"/>
        </w:rPr>
        <w:t>检复核，抽检覆盖率为</w:t>
      </w:r>
      <w:r>
        <w:rPr>
          <w:spacing w:val="-49"/>
        </w:rPr>
        <w:t xml:space="preserve"> </w:t>
      </w:r>
      <w:r>
        <w:rPr>
          <w:spacing w:val="-3"/>
        </w:rPr>
        <w:t>30%。</w:t>
      </w:r>
    </w:p>
    <w:p w14:paraId="095DE809">
      <w:pPr>
        <w:pStyle w:val="2"/>
        <w:spacing w:before="223" w:line="370" w:lineRule="auto"/>
        <w:ind w:left="32" w:right="34" w:firstLine="557"/>
      </w:pPr>
      <w:r>
        <w:rPr>
          <w:spacing w:val="1"/>
        </w:rPr>
        <w:t>7. 在竞赛过程中，参赛选手如有不服从裁判裁决、扰乱赛场秩</w:t>
      </w:r>
      <w:r>
        <w:t xml:space="preserve"> </w:t>
      </w:r>
      <w:r>
        <w:rPr>
          <w:spacing w:val="-4"/>
        </w:rPr>
        <w:t>序、舞弊等行为的，由裁判长按照规定扣减相应分数，情节严重的将</w:t>
      </w:r>
    </w:p>
    <w:p w14:paraId="6FC39CD3">
      <w:pPr>
        <w:pStyle w:val="2"/>
        <w:spacing w:before="1" w:line="222" w:lineRule="auto"/>
        <w:ind w:left="33"/>
      </w:pPr>
      <w:r>
        <w:rPr>
          <w:spacing w:val="-4"/>
        </w:rPr>
        <w:t>取消比赛资格，比赛成绩计</w:t>
      </w:r>
      <w:r>
        <w:rPr>
          <w:spacing w:val="-52"/>
        </w:rPr>
        <w:t xml:space="preserve"> </w:t>
      </w:r>
      <w:r>
        <w:rPr>
          <w:spacing w:val="-4"/>
        </w:rPr>
        <w:t>0</w:t>
      </w:r>
      <w:r>
        <w:rPr>
          <w:spacing w:val="-47"/>
        </w:rPr>
        <w:t xml:space="preserve"> </w:t>
      </w:r>
      <w:r>
        <w:rPr>
          <w:spacing w:val="-4"/>
        </w:rPr>
        <w:t>分。</w:t>
      </w:r>
    </w:p>
    <w:p w14:paraId="19C32206">
      <w:pPr>
        <w:pStyle w:val="2"/>
        <w:spacing w:before="222" w:line="223" w:lineRule="auto"/>
        <w:ind w:right="35"/>
        <w:jc w:val="right"/>
      </w:pPr>
      <w:r>
        <w:rPr>
          <w:spacing w:val="1"/>
        </w:rPr>
        <w:t>8. 赛项成绩解密审核无误后，经裁判长、督察员和仲裁组签字</w:t>
      </w:r>
    </w:p>
    <w:p w14:paraId="29FC0929">
      <w:pPr>
        <w:spacing w:line="223" w:lineRule="auto"/>
        <w:sectPr>
          <w:footerReference r:id="rId14" w:type="default"/>
          <w:pgSz w:w="11906" w:h="16839"/>
          <w:pgMar w:top="1431" w:right="1764" w:bottom="1142" w:left="1785" w:header="0" w:footer="979" w:gutter="0"/>
          <w:cols w:space="720" w:num="1"/>
        </w:sectPr>
      </w:pPr>
    </w:p>
    <w:p w14:paraId="4640F30A">
      <w:pPr>
        <w:pStyle w:val="2"/>
        <w:spacing w:before="217" w:line="559" w:lineRule="exact"/>
        <w:ind w:left="34"/>
      </w:pPr>
      <w:r>
        <w:rPr>
          <w:spacing w:val="-4"/>
          <w:position w:val="21"/>
        </w:rPr>
        <w:t>后，向全体参赛队进行公布，再将竞赛成绩上传到竞赛平台。比赛成</w:t>
      </w:r>
    </w:p>
    <w:p w14:paraId="034FF112">
      <w:pPr>
        <w:pStyle w:val="2"/>
        <w:spacing w:before="1" w:line="220" w:lineRule="auto"/>
        <w:ind w:left="37"/>
      </w:pPr>
      <w:r>
        <w:rPr>
          <w:spacing w:val="-2"/>
        </w:rPr>
        <w:t>绩以省教育厅最终公布结果为准。</w:t>
      </w:r>
    </w:p>
    <w:p w14:paraId="60631F18">
      <w:pPr>
        <w:spacing w:before="224" w:line="222" w:lineRule="auto"/>
        <w:ind w:left="587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十、赛项安全</w:t>
      </w:r>
    </w:p>
    <w:p w14:paraId="5DDDEBD9">
      <w:pPr>
        <w:pStyle w:val="2"/>
        <w:spacing w:before="223" w:line="369" w:lineRule="auto"/>
        <w:ind w:left="32" w:right="101" w:firstLine="559"/>
      </w:pPr>
      <w:r>
        <w:rPr>
          <w:spacing w:val="-4"/>
        </w:rPr>
        <w:t>赛事安全是技能竞赛一切工作顺利开展的先决条件，是赛事筹备</w:t>
      </w:r>
      <w:r>
        <w:t xml:space="preserve"> </w:t>
      </w:r>
      <w:r>
        <w:rPr>
          <w:spacing w:val="-4"/>
        </w:rPr>
        <w:t>和运行工作必须考虑的核心问题。赛项执委会采取切实有效措施保证</w:t>
      </w:r>
    </w:p>
    <w:p w14:paraId="2822B8A5">
      <w:pPr>
        <w:pStyle w:val="2"/>
        <w:spacing w:before="1" w:line="220" w:lineRule="auto"/>
        <w:jc w:val="right"/>
      </w:pPr>
      <w:r>
        <w:rPr>
          <w:spacing w:val="-10"/>
        </w:rPr>
        <w:t>大赛期间参赛选手、指导教师、裁判员、工作人员及观众的人身安全。</w:t>
      </w:r>
    </w:p>
    <w:p w14:paraId="5E7B4E3A">
      <w:pPr>
        <w:pStyle w:val="2"/>
        <w:spacing w:before="226" w:line="223" w:lineRule="auto"/>
        <w:ind w:left="592"/>
      </w:pPr>
      <w:r>
        <w:rPr>
          <w:spacing w:val="-3"/>
        </w:rPr>
        <w:t>（一）比赛环境</w:t>
      </w:r>
    </w:p>
    <w:p w14:paraId="1C63103A">
      <w:pPr>
        <w:pStyle w:val="2"/>
        <w:spacing w:before="222" w:line="369" w:lineRule="auto"/>
        <w:ind w:left="33" w:right="101" w:firstLine="557"/>
      </w:pPr>
      <w:r>
        <w:rPr>
          <w:spacing w:val="-4"/>
        </w:rPr>
        <w:t>执委会须在赛前组织专人对比赛现场、住宿场所和交通保障进行</w:t>
      </w:r>
      <w:r>
        <w:t xml:space="preserve"> </w:t>
      </w:r>
      <w:r>
        <w:rPr>
          <w:spacing w:val="-4"/>
        </w:rPr>
        <w:t>考察，并对安全工作提出明确要求。赛场的布置，赛场内的器材、设</w:t>
      </w:r>
      <w:r>
        <w:rPr>
          <w:spacing w:val="5"/>
        </w:rPr>
        <w:t xml:space="preserve"> </w:t>
      </w:r>
      <w:r>
        <w:rPr>
          <w:spacing w:val="-4"/>
        </w:rPr>
        <w:t>备，应符合国家有关安全规定。承办单位赛前须按照执委会要求排除</w:t>
      </w:r>
    </w:p>
    <w:p w14:paraId="7270AFB0">
      <w:pPr>
        <w:pStyle w:val="2"/>
        <w:spacing w:before="1" w:line="224" w:lineRule="auto"/>
        <w:ind w:left="36"/>
      </w:pPr>
      <w:r>
        <w:rPr>
          <w:spacing w:val="-5"/>
        </w:rPr>
        <w:t>安全隐患。</w:t>
      </w:r>
    </w:p>
    <w:p w14:paraId="76272F54">
      <w:pPr>
        <w:pStyle w:val="2"/>
        <w:spacing w:before="217" w:line="370" w:lineRule="auto"/>
        <w:ind w:left="31" w:right="101" w:firstLine="560"/>
      </w:pPr>
      <w:r>
        <w:rPr>
          <w:spacing w:val="-4"/>
        </w:rPr>
        <w:t>赛场周围要设立警戒线，防止无关人员进入发生意外事件。比赛</w:t>
      </w:r>
      <w:r>
        <w:t xml:space="preserve"> </w:t>
      </w:r>
      <w:r>
        <w:rPr>
          <w:spacing w:val="-4"/>
        </w:rPr>
        <w:t>现场内应参照相关职业岗位的要求为选手提供必要的劳动保护。在具</w:t>
      </w:r>
    </w:p>
    <w:p w14:paraId="1B9FDE28">
      <w:pPr>
        <w:pStyle w:val="2"/>
        <w:spacing w:before="2" w:line="220" w:lineRule="auto"/>
        <w:ind w:left="29"/>
      </w:pPr>
      <w:r>
        <w:rPr>
          <w:spacing w:val="-1"/>
        </w:rPr>
        <w:t>有危险性的操作环节，裁判员要严防选手出现错误操作。</w:t>
      </w:r>
    </w:p>
    <w:p w14:paraId="062DB0CE">
      <w:pPr>
        <w:pStyle w:val="2"/>
        <w:spacing w:before="222" w:line="370" w:lineRule="auto"/>
        <w:ind w:left="32" w:right="101" w:firstLine="558"/>
      </w:pPr>
      <w:r>
        <w:rPr>
          <w:spacing w:val="-4"/>
        </w:rPr>
        <w:t>执委会须会同承办单位制定赛场和体验区的人员疏导方案。赛场</w:t>
      </w:r>
      <w:r>
        <w:t xml:space="preserve"> </w:t>
      </w:r>
      <w:r>
        <w:rPr>
          <w:spacing w:val="-4"/>
        </w:rPr>
        <w:t>环境中存在人员密集、车流人流交错的区域，除了设置齐全的指示标</w:t>
      </w:r>
    </w:p>
    <w:p w14:paraId="4C90C0D9">
      <w:pPr>
        <w:pStyle w:val="2"/>
        <w:spacing w:before="2" w:line="220" w:lineRule="auto"/>
        <w:ind w:left="40"/>
      </w:pPr>
      <w:r>
        <w:rPr>
          <w:spacing w:val="-2"/>
        </w:rPr>
        <w:t>志外，须增加引导人员，并开辟备用通道。</w:t>
      </w:r>
    </w:p>
    <w:p w14:paraId="2D7DB3F1">
      <w:pPr>
        <w:pStyle w:val="2"/>
        <w:spacing w:before="224" w:line="561" w:lineRule="exact"/>
        <w:ind w:left="595"/>
      </w:pPr>
      <w:r>
        <w:rPr>
          <w:spacing w:val="-4"/>
          <w:position w:val="21"/>
        </w:rPr>
        <w:t>大赛期间，承办单位须在赛场管理的关键岗位，增加力</w:t>
      </w:r>
      <w:r>
        <w:rPr>
          <w:spacing w:val="-5"/>
          <w:position w:val="21"/>
        </w:rPr>
        <w:t>量，建立</w:t>
      </w:r>
    </w:p>
    <w:p w14:paraId="42DF3CD6">
      <w:pPr>
        <w:pStyle w:val="2"/>
        <w:spacing w:before="1" w:line="224" w:lineRule="auto"/>
        <w:ind w:left="36"/>
      </w:pPr>
      <w:r>
        <w:rPr>
          <w:spacing w:val="-4"/>
        </w:rPr>
        <w:t>安全管理日志。</w:t>
      </w:r>
    </w:p>
    <w:p w14:paraId="7B6749F2">
      <w:pPr>
        <w:pStyle w:val="2"/>
        <w:spacing w:before="220" w:line="369" w:lineRule="auto"/>
        <w:ind w:left="37" w:right="101" w:firstLine="559"/>
      </w:pPr>
      <w:r>
        <w:rPr>
          <w:spacing w:val="-4"/>
        </w:rPr>
        <w:t>参赛选手进入赛位、赛事裁判工作人员进入工作场所</w:t>
      </w:r>
      <w:r>
        <w:rPr>
          <w:spacing w:val="-5"/>
        </w:rPr>
        <w:t>，严禁携带</w:t>
      </w:r>
      <w:r>
        <w:t xml:space="preserve"> </w:t>
      </w:r>
      <w:r>
        <w:rPr>
          <w:spacing w:val="-4"/>
        </w:rPr>
        <w:t>通讯、照相摄录设备，禁止携带记录用具。如确有需要，由赛场统一</w:t>
      </w:r>
      <w:r>
        <w:rPr>
          <w:spacing w:val="2"/>
        </w:rPr>
        <w:t xml:space="preserve"> </w:t>
      </w:r>
      <w:r>
        <w:rPr>
          <w:spacing w:val="-4"/>
        </w:rPr>
        <w:t>配置、统一管理。赛项可根据需要配置安检设备对进入赛场重要部位</w:t>
      </w:r>
    </w:p>
    <w:p w14:paraId="3B4138E1">
      <w:pPr>
        <w:pStyle w:val="2"/>
        <w:spacing w:before="1" w:line="220" w:lineRule="auto"/>
        <w:ind w:left="49"/>
      </w:pPr>
      <w:r>
        <w:rPr>
          <w:spacing w:val="-5"/>
        </w:rPr>
        <w:t>的人员进行安检。</w:t>
      </w:r>
    </w:p>
    <w:p w14:paraId="172918E0">
      <w:pPr>
        <w:pStyle w:val="2"/>
        <w:spacing w:before="224" w:line="223" w:lineRule="auto"/>
        <w:ind w:left="592"/>
      </w:pPr>
      <w:r>
        <w:rPr>
          <w:spacing w:val="-2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（二）生活条件</w:t>
      </w:r>
    </w:p>
    <w:p w14:paraId="31253723">
      <w:pPr>
        <w:spacing w:line="223" w:lineRule="auto"/>
        <w:sectPr>
          <w:footerReference r:id="rId15" w:type="default"/>
          <w:pgSz w:w="11906" w:h="16839"/>
          <w:pgMar w:top="1431" w:right="1698" w:bottom="1142" w:left="1785" w:header="0" w:footer="979" w:gutter="0"/>
          <w:cols w:space="720" w:num="1"/>
        </w:sectPr>
      </w:pPr>
    </w:p>
    <w:p w14:paraId="70A0B7E3">
      <w:pPr>
        <w:pStyle w:val="2"/>
        <w:spacing w:before="223" w:line="559" w:lineRule="exact"/>
        <w:ind w:right="55"/>
        <w:jc w:val="right"/>
      </w:pPr>
      <w:r>
        <w:rPr>
          <w:position w:val="20"/>
        </w:rPr>
        <w:t>比赛期间安排的住宿地应具有宾馆/住宿经营许可资</w:t>
      </w:r>
      <w:r>
        <w:rPr>
          <w:spacing w:val="-1"/>
          <w:position w:val="20"/>
        </w:rPr>
        <w:t>质。大赛期</w:t>
      </w:r>
    </w:p>
    <w:p w14:paraId="0981EAE6">
      <w:pPr>
        <w:pStyle w:val="2"/>
        <w:spacing w:line="222" w:lineRule="auto"/>
        <w:jc w:val="right"/>
      </w:pPr>
      <w:r>
        <w:rPr>
          <w:spacing w:val="-3"/>
        </w:rPr>
        <w:t>间的住宿、卫生、饮食安全等由执委会和提供宿舍的学校共同负责。</w:t>
      </w:r>
    </w:p>
    <w:p w14:paraId="07E7D768">
      <w:pPr>
        <w:pStyle w:val="2"/>
        <w:spacing w:before="222" w:line="561" w:lineRule="exact"/>
        <w:ind w:right="55"/>
        <w:jc w:val="right"/>
      </w:pPr>
      <w:r>
        <w:rPr>
          <w:spacing w:val="-4"/>
          <w:position w:val="21"/>
        </w:rPr>
        <w:t>各赛项的安全管理，除了可以采取必要的安全隔离措施外，</w:t>
      </w:r>
      <w:r>
        <w:rPr>
          <w:spacing w:val="-5"/>
          <w:position w:val="21"/>
        </w:rPr>
        <w:t>应严</w:t>
      </w:r>
    </w:p>
    <w:p w14:paraId="02143852">
      <w:pPr>
        <w:pStyle w:val="2"/>
        <w:spacing w:before="1" w:line="221" w:lineRule="auto"/>
        <w:ind w:left="31"/>
      </w:pPr>
      <w:r>
        <w:rPr>
          <w:spacing w:val="-1"/>
        </w:rPr>
        <w:t>格遵守国家相关法律法规，保护个人隐私和人身自由。</w:t>
      </w:r>
    </w:p>
    <w:p w14:paraId="7E14B8FC">
      <w:pPr>
        <w:pStyle w:val="2"/>
        <w:spacing w:before="223" w:line="224" w:lineRule="auto"/>
        <w:ind w:left="592"/>
      </w:pPr>
      <w:r>
        <w:rPr>
          <w:spacing w:val="-2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（三）组队责任</w:t>
      </w:r>
    </w:p>
    <w:p w14:paraId="255C8CEC">
      <w:pPr>
        <w:pStyle w:val="2"/>
        <w:spacing w:before="219" w:line="562" w:lineRule="exact"/>
        <w:ind w:right="55"/>
        <w:jc w:val="right"/>
      </w:pPr>
      <w:r>
        <w:rPr>
          <w:spacing w:val="-4"/>
          <w:position w:val="21"/>
        </w:rPr>
        <w:t>1.各学校组织代表队时，须安排为参赛选手</w:t>
      </w:r>
      <w:r>
        <w:rPr>
          <w:spacing w:val="-5"/>
          <w:position w:val="21"/>
        </w:rPr>
        <w:t>购买大赛期间的人身</w:t>
      </w:r>
    </w:p>
    <w:p w14:paraId="52550381">
      <w:pPr>
        <w:pStyle w:val="2"/>
        <w:spacing w:before="1" w:line="221" w:lineRule="auto"/>
        <w:ind w:left="43"/>
      </w:pPr>
      <w:r>
        <w:rPr>
          <w:spacing w:val="-5"/>
        </w:rPr>
        <w:t>意外伤害保险。</w:t>
      </w:r>
    </w:p>
    <w:p w14:paraId="6D84F31C">
      <w:pPr>
        <w:pStyle w:val="2"/>
        <w:spacing w:before="223" w:line="559" w:lineRule="exact"/>
        <w:jc w:val="right"/>
      </w:pPr>
      <w:r>
        <w:rPr>
          <w:spacing w:val="-2"/>
          <w:position w:val="20"/>
        </w:rPr>
        <w:t>2.各学校代表队组成后，须制定相关管理制度，并对所有选手、</w:t>
      </w:r>
    </w:p>
    <w:p w14:paraId="09DBCAD8">
      <w:pPr>
        <w:pStyle w:val="2"/>
        <w:spacing w:before="1" w:line="221" w:lineRule="auto"/>
        <w:ind w:left="32"/>
      </w:pPr>
      <w:r>
        <w:rPr>
          <w:spacing w:val="-2"/>
        </w:rPr>
        <w:t>指导教师进行安全教育。</w:t>
      </w:r>
    </w:p>
    <w:p w14:paraId="26B2D391">
      <w:pPr>
        <w:pStyle w:val="2"/>
        <w:spacing w:before="226" w:line="559" w:lineRule="exact"/>
        <w:ind w:right="54"/>
        <w:jc w:val="right"/>
      </w:pPr>
      <w:r>
        <w:rPr>
          <w:spacing w:val="-4"/>
          <w:position w:val="20"/>
        </w:rPr>
        <w:t>3.各参赛队伍须加强对参与比赛人员的安全管理，实现与赛场安</w:t>
      </w:r>
    </w:p>
    <w:p w14:paraId="676B7D6B">
      <w:pPr>
        <w:pStyle w:val="2"/>
        <w:spacing w:before="1" w:line="223" w:lineRule="auto"/>
        <w:ind w:left="39"/>
      </w:pPr>
      <w:r>
        <w:rPr>
          <w:spacing w:val="-4"/>
        </w:rPr>
        <w:t>全管理的对接。</w:t>
      </w:r>
    </w:p>
    <w:p w14:paraId="7352921D">
      <w:pPr>
        <w:pStyle w:val="2"/>
        <w:spacing w:before="219" w:line="224" w:lineRule="auto"/>
        <w:ind w:left="592"/>
      </w:pPr>
      <w:r>
        <w:rPr>
          <w:spacing w:val="-2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（四）应急安全预案</w:t>
      </w:r>
    </w:p>
    <w:p w14:paraId="3B52C4C5">
      <w:pPr>
        <w:pStyle w:val="2"/>
        <w:spacing w:before="224" w:line="369" w:lineRule="auto"/>
        <w:ind w:left="32" w:right="55" w:firstLine="591"/>
        <w:jc w:val="both"/>
      </w:pPr>
      <w:r>
        <w:rPr>
          <w:spacing w:val="-5"/>
        </w:rPr>
        <w:t>比赛期间发生意外事故，发现者应第一时间报告大赛</w:t>
      </w:r>
      <w:r>
        <w:rPr>
          <w:spacing w:val="-6"/>
        </w:rPr>
        <w:t>执委会，同</w:t>
      </w:r>
      <w:r>
        <w:t xml:space="preserve"> </w:t>
      </w:r>
      <w:r>
        <w:rPr>
          <w:spacing w:val="-4"/>
        </w:rPr>
        <w:t>时采取措施避免事态扩大。大赛执委会应立即启动预案予以解决并报</w:t>
      </w:r>
      <w:r>
        <w:rPr>
          <w:spacing w:val="6"/>
        </w:rPr>
        <w:t xml:space="preserve"> </w:t>
      </w:r>
      <w:r>
        <w:rPr>
          <w:spacing w:val="-4"/>
        </w:rPr>
        <w:t>告省大赛办。赛项出现重大安全问题可以停赛，是否停赛由省大赛办</w:t>
      </w:r>
    </w:p>
    <w:p w14:paraId="3EB51C01">
      <w:pPr>
        <w:pStyle w:val="2"/>
        <w:spacing w:before="1" w:line="221" w:lineRule="auto"/>
        <w:ind w:left="33"/>
      </w:pPr>
      <w:r>
        <w:rPr>
          <w:spacing w:val="-1"/>
        </w:rPr>
        <w:t>决定。事后，大赛执委会应向省大赛办报告详细情况。</w:t>
      </w:r>
    </w:p>
    <w:p w14:paraId="050BB177">
      <w:pPr>
        <w:pStyle w:val="2"/>
        <w:spacing w:before="223" w:line="222" w:lineRule="auto"/>
        <w:ind w:left="594"/>
      </w:pPr>
      <w:r>
        <w:rPr>
          <w:spacing w:val="-4"/>
        </w:rPr>
        <w:t>相关应急预案如表</w:t>
      </w:r>
      <w:r>
        <w:rPr>
          <w:spacing w:val="-60"/>
        </w:rPr>
        <w:t xml:space="preserve"> </w:t>
      </w:r>
      <w:r>
        <w:rPr>
          <w:spacing w:val="-4"/>
        </w:rPr>
        <w:t>8</w:t>
      </w:r>
      <w:r>
        <w:rPr>
          <w:spacing w:val="-52"/>
        </w:rPr>
        <w:t xml:space="preserve"> </w:t>
      </w:r>
      <w:r>
        <w:rPr>
          <w:spacing w:val="-4"/>
        </w:rPr>
        <w:t>所示。</w:t>
      </w:r>
    </w:p>
    <w:p w14:paraId="0802CD7F">
      <w:pPr>
        <w:pStyle w:val="2"/>
        <w:spacing w:before="51" w:line="213" w:lineRule="auto"/>
        <w:ind w:left="3310"/>
        <w:rPr>
          <w:sz w:val="24"/>
          <w:szCs w:val="24"/>
        </w:rPr>
      </w:pPr>
      <w:r>
        <w:rPr>
          <w:color w:val="0D0D0D"/>
          <w:spacing w:val="-5"/>
          <w:sz w:val="24"/>
          <w:szCs w:val="24"/>
          <w14:textOutline w14:w="4358" w14:cap="sq" w14:cmpd="sng">
            <w14:solidFill>
              <w14:srgbClr w14:val="0D0D0D"/>
            </w14:solidFill>
            <w14:prstDash w14:val="solid"/>
            <w14:bevel/>
          </w14:textOutline>
        </w:rPr>
        <w:t>表</w:t>
      </w:r>
      <w:r>
        <w:rPr>
          <w:color w:val="0D0D0D"/>
          <w:spacing w:val="-5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D0D0D"/>
          <w:spacing w:val="-5"/>
          <w:sz w:val="24"/>
          <w:szCs w:val="24"/>
        </w:rPr>
        <w:t>8</w:t>
      </w:r>
      <w:r>
        <w:rPr>
          <w:rFonts w:ascii="Times New Roman" w:hAnsi="Times New Roman" w:eastAsia="Times New Roman" w:cs="Times New Roman"/>
          <w:b/>
          <w:bCs/>
          <w:color w:val="0D0D0D"/>
          <w:spacing w:val="9"/>
          <w:sz w:val="24"/>
          <w:szCs w:val="24"/>
        </w:rPr>
        <w:t xml:space="preserve">  </w:t>
      </w:r>
      <w:r>
        <w:rPr>
          <w:color w:val="0D0D0D"/>
          <w:spacing w:val="-5"/>
          <w:sz w:val="24"/>
          <w:szCs w:val="24"/>
          <w14:textOutline w14:w="4358" w14:cap="sq" w14:cmpd="sng">
            <w14:solidFill>
              <w14:srgbClr w14:val="0D0D0D"/>
            </w14:solidFill>
            <w14:prstDash w14:val="solid"/>
            <w14:bevel/>
          </w14:textOutline>
        </w:rPr>
        <w:t>相关应急预案</w:t>
      </w:r>
    </w:p>
    <w:tbl>
      <w:tblPr>
        <w:tblStyle w:val="5"/>
        <w:tblW w:w="8226" w:type="dxa"/>
        <w:tblInd w:w="5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8"/>
        <w:gridCol w:w="3194"/>
        <w:gridCol w:w="3264"/>
      </w:tblGrid>
      <w:tr w14:paraId="6E716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68" w:type="dxa"/>
            <w:vAlign w:val="top"/>
          </w:tcPr>
          <w:p w14:paraId="04C51A66">
            <w:pPr>
              <w:pStyle w:val="6"/>
              <w:spacing w:before="119" w:line="222" w:lineRule="auto"/>
              <w:ind w:left="421"/>
            </w:pPr>
            <w:r>
              <w:rPr>
                <w:color w:val="0D0D0D"/>
                <w:spacing w:val="-6"/>
                <w14:textOutline w14:w="4358" w14:cap="sq" w14:cmpd="sng">
                  <w14:solidFill>
                    <w14:srgbClr w14:val="0D0D0D"/>
                  </w14:solidFill>
                  <w14:prstDash w14:val="solid"/>
                  <w14:bevel/>
                </w14:textOutline>
              </w:rPr>
              <w:t>突发事件</w:t>
            </w:r>
          </w:p>
        </w:tc>
        <w:tc>
          <w:tcPr>
            <w:tcW w:w="3194" w:type="dxa"/>
            <w:vAlign w:val="top"/>
          </w:tcPr>
          <w:p w14:paraId="7931CFD7">
            <w:pPr>
              <w:pStyle w:val="6"/>
              <w:spacing w:before="119" w:line="223" w:lineRule="auto"/>
              <w:ind w:left="1130"/>
            </w:pPr>
            <w:r>
              <w:rPr>
                <w:color w:val="0D0D0D"/>
                <w:spacing w:val="-4"/>
                <w14:textOutline w14:w="4358" w14:cap="sq" w14:cmpd="sng">
                  <w14:solidFill>
                    <w14:srgbClr w14:val="0D0D0D"/>
                  </w14:solidFill>
                  <w14:prstDash w14:val="solid"/>
                  <w14:bevel/>
                </w14:textOutline>
              </w:rPr>
              <w:t>预防措施</w:t>
            </w:r>
          </w:p>
        </w:tc>
        <w:tc>
          <w:tcPr>
            <w:tcW w:w="3264" w:type="dxa"/>
            <w:vAlign w:val="top"/>
          </w:tcPr>
          <w:p w14:paraId="5EB32729">
            <w:pPr>
              <w:pStyle w:val="6"/>
              <w:spacing w:before="119" w:line="222" w:lineRule="auto"/>
              <w:ind w:left="560"/>
            </w:pPr>
            <w:r>
              <w:rPr>
                <w:color w:val="0D0D0D"/>
                <w:spacing w:val="-1"/>
                <w14:textOutline w14:w="4358" w14:cap="sq" w14:cmpd="sng">
                  <w14:solidFill>
                    <w14:srgbClr w14:val="0D0D0D"/>
                  </w14:solidFill>
                  <w14:prstDash w14:val="solid"/>
                  <w14:bevel/>
                </w14:textOutline>
              </w:rPr>
              <w:t>事件发生后应对措施</w:t>
            </w:r>
          </w:p>
        </w:tc>
      </w:tr>
      <w:tr w14:paraId="36DD0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768" w:type="dxa"/>
            <w:vAlign w:val="top"/>
          </w:tcPr>
          <w:p w14:paraId="33FE6EFD">
            <w:pPr>
              <w:spacing w:line="251" w:lineRule="auto"/>
              <w:rPr>
                <w:rFonts w:ascii="Arial"/>
                <w:sz w:val="21"/>
              </w:rPr>
            </w:pPr>
          </w:p>
          <w:p w14:paraId="23FAE3E1">
            <w:pPr>
              <w:spacing w:line="251" w:lineRule="auto"/>
              <w:rPr>
                <w:rFonts w:ascii="Arial"/>
                <w:sz w:val="21"/>
              </w:rPr>
            </w:pPr>
          </w:p>
          <w:p w14:paraId="2B24F6F1">
            <w:pPr>
              <w:pStyle w:val="6"/>
              <w:spacing w:before="78" w:line="468" w:lineRule="exact"/>
              <w:ind w:left="126"/>
            </w:pPr>
            <w:r>
              <w:rPr>
                <w:color w:val="0D0D0D"/>
                <w:spacing w:val="14"/>
                <w:position w:val="17"/>
              </w:rPr>
              <w:t>参赛选手突发</w:t>
            </w:r>
          </w:p>
          <w:p w14:paraId="59C6A552">
            <w:pPr>
              <w:pStyle w:val="6"/>
              <w:spacing w:line="223" w:lineRule="auto"/>
              <w:ind w:left="123"/>
            </w:pPr>
            <w:r>
              <w:rPr>
                <w:color w:val="0D0D0D"/>
                <w:spacing w:val="-5"/>
              </w:rPr>
              <w:t>病或受伤</w:t>
            </w:r>
          </w:p>
        </w:tc>
        <w:tc>
          <w:tcPr>
            <w:tcW w:w="3194" w:type="dxa"/>
            <w:vAlign w:val="top"/>
          </w:tcPr>
          <w:p w14:paraId="76474D3F">
            <w:pPr>
              <w:spacing w:line="245" w:lineRule="auto"/>
              <w:rPr>
                <w:rFonts w:ascii="Arial"/>
                <w:sz w:val="21"/>
              </w:rPr>
            </w:pPr>
          </w:p>
          <w:p w14:paraId="7138F585">
            <w:pPr>
              <w:spacing w:line="246" w:lineRule="auto"/>
              <w:rPr>
                <w:rFonts w:ascii="Arial"/>
                <w:sz w:val="21"/>
              </w:rPr>
            </w:pPr>
          </w:p>
          <w:p w14:paraId="2CD45AF3">
            <w:pPr>
              <w:spacing w:line="246" w:lineRule="auto"/>
              <w:rPr>
                <w:rFonts w:ascii="Arial"/>
                <w:sz w:val="21"/>
              </w:rPr>
            </w:pPr>
          </w:p>
          <w:p w14:paraId="5EC02DAA">
            <w:pPr>
              <w:pStyle w:val="6"/>
              <w:spacing w:before="78" w:line="219" w:lineRule="auto"/>
              <w:ind w:left="122"/>
            </w:pPr>
            <w:r>
              <w:rPr>
                <w:color w:val="0D0D0D"/>
                <w:spacing w:val="-2"/>
              </w:rPr>
              <w:t>在各赛位张贴安全操作说明</w:t>
            </w:r>
          </w:p>
        </w:tc>
        <w:tc>
          <w:tcPr>
            <w:tcW w:w="3264" w:type="dxa"/>
            <w:vAlign w:val="top"/>
          </w:tcPr>
          <w:p w14:paraId="1BCB526D">
            <w:pPr>
              <w:pStyle w:val="6"/>
              <w:spacing w:before="116" w:line="360" w:lineRule="auto"/>
              <w:ind w:left="122" w:right="105" w:firstLine="21"/>
              <w:jc w:val="both"/>
            </w:pPr>
            <w:r>
              <w:rPr>
                <w:color w:val="0D0D0D"/>
                <w:spacing w:val="10"/>
              </w:rPr>
              <w:t>医务人员应采取紧急救护措</w:t>
            </w:r>
            <w:r>
              <w:rPr>
                <w:color w:val="0D0D0D"/>
                <w:spacing w:val="8"/>
              </w:rPr>
              <w:t xml:space="preserve"> </w:t>
            </w:r>
            <w:r>
              <w:rPr>
                <w:color w:val="0D0D0D"/>
                <w:spacing w:val="-8"/>
              </w:rPr>
              <w:t>施，及时进行救治，如病情或</w:t>
            </w:r>
            <w:r>
              <w:rPr>
                <w:color w:val="0D0D0D"/>
                <w:spacing w:val="11"/>
              </w:rPr>
              <w:t xml:space="preserve"> </w:t>
            </w:r>
            <w:r>
              <w:rPr>
                <w:color w:val="0D0D0D"/>
                <w:spacing w:val="-8"/>
              </w:rPr>
              <w:t>伤势严重，应及时送往最近医</w:t>
            </w:r>
          </w:p>
          <w:p w14:paraId="41B0DCC1">
            <w:pPr>
              <w:pStyle w:val="6"/>
              <w:spacing w:before="1" w:line="220" w:lineRule="auto"/>
              <w:ind w:left="137"/>
            </w:pPr>
            <w:r>
              <w:rPr>
                <w:color w:val="0D0D0D"/>
                <w:spacing w:val="-6"/>
              </w:rPr>
              <w:t>院进行救治</w:t>
            </w:r>
          </w:p>
        </w:tc>
      </w:tr>
    </w:tbl>
    <w:p w14:paraId="79191686">
      <w:pPr>
        <w:rPr>
          <w:rFonts w:ascii="Arial"/>
          <w:sz w:val="21"/>
        </w:rPr>
      </w:pPr>
    </w:p>
    <w:p w14:paraId="66F4AD30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06" w:h="16839"/>
          <w:pgMar w:top="1431" w:right="1743" w:bottom="1142" w:left="1785" w:header="0" w:footer="979" w:gutter="0"/>
          <w:cols w:space="720" w:num="1"/>
        </w:sectPr>
      </w:pPr>
    </w:p>
    <w:p w14:paraId="271E99F6">
      <w:pPr>
        <w:spacing w:line="91" w:lineRule="auto"/>
        <w:rPr>
          <w:rFonts w:ascii="Arial"/>
          <w:sz w:val="2"/>
        </w:rPr>
      </w:pPr>
    </w:p>
    <w:tbl>
      <w:tblPr>
        <w:tblStyle w:val="5"/>
        <w:tblW w:w="8226" w:type="dxa"/>
        <w:tblInd w:w="5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8"/>
        <w:gridCol w:w="3194"/>
        <w:gridCol w:w="3264"/>
      </w:tblGrid>
      <w:tr w14:paraId="39A91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0" w:hRule="atLeast"/>
        </w:trPr>
        <w:tc>
          <w:tcPr>
            <w:tcW w:w="1768" w:type="dxa"/>
            <w:vAlign w:val="top"/>
          </w:tcPr>
          <w:p w14:paraId="63301B63">
            <w:pPr>
              <w:spacing w:line="278" w:lineRule="auto"/>
              <w:rPr>
                <w:rFonts w:ascii="Arial"/>
                <w:sz w:val="21"/>
              </w:rPr>
            </w:pPr>
          </w:p>
          <w:p w14:paraId="6B992D72">
            <w:pPr>
              <w:spacing w:line="278" w:lineRule="auto"/>
              <w:rPr>
                <w:rFonts w:ascii="Arial"/>
                <w:sz w:val="21"/>
              </w:rPr>
            </w:pPr>
          </w:p>
          <w:p w14:paraId="6D95FA4F">
            <w:pPr>
              <w:spacing w:line="278" w:lineRule="auto"/>
              <w:rPr>
                <w:rFonts w:ascii="Arial"/>
                <w:sz w:val="21"/>
              </w:rPr>
            </w:pPr>
          </w:p>
          <w:p w14:paraId="5516A052">
            <w:pPr>
              <w:spacing w:line="278" w:lineRule="auto"/>
              <w:rPr>
                <w:rFonts w:ascii="Arial"/>
                <w:sz w:val="21"/>
              </w:rPr>
            </w:pPr>
          </w:p>
          <w:p w14:paraId="1BB3CDA5">
            <w:pPr>
              <w:spacing w:line="278" w:lineRule="auto"/>
              <w:rPr>
                <w:rFonts w:ascii="Arial"/>
                <w:sz w:val="21"/>
              </w:rPr>
            </w:pPr>
          </w:p>
          <w:p w14:paraId="5E00048F">
            <w:pPr>
              <w:spacing w:line="279" w:lineRule="auto"/>
              <w:rPr>
                <w:rFonts w:ascii="Arial"/>
                <w:sz w:val="21"/>
              </w:rPr>
            </w:pPr>
          </w:p>
          <w:p w14:paraId="36827F8C">
            <w:pPr>
              <w:pStyle w:val="6"/>
              <w:spacing w:before="78" w:line="468" w:lineRule="exact"/>
              <w:ind w:left="126"/>
            </w:pPr>
            <w:r>
              <w:rPr>
                <w:color w:val="0D0D0D"/>
                <w:spacing w:val="14"/>
                <w:position w:val="17"/>
              </w:rPr>
              <w:t>人员发生食物</w:t>
            </w:r>
          </w:p>
          <w:p w14:paraId="187DA934">
            <w:pPr>
              <w:pStyle w:val="6"/>
              <w:spacing w:line="222" w:lineRule="auto"/>
              <w:ind w:left="153"/>
            </w:pPr>
            <w:r>
              <w:rPr>
                <w:color w:val="0D0D0D"/>
                <w:spacing w:val="-24"/>
              </w:rPr>
              <w:t>中毒</w:t>
            </w:r>
          </w:p>
        </w:tc>
        <w:tc>
          <w:tcPr>
            <w:tcW w:w="3194" w:type="dxa"/>
            <w:vAlign w:val="top"/>
          </w:tcPr>
          <w:p w14:paraId="47BD4DFD">
            <w:pPr>
              <w:rPr>
                <w:rFonts w:ascii="Arial"/>
                <w:sz w:val="21"/>
              </w:rPr>
            </w:pPr>
          </w:p>
          <w:p w14:paraId="21503BE5">
            <w:pPr>
              <w:spacing w:line="241" w:lineRule="auto"/>
              <w:rPr>
                <w:rFonts w:ascii="Arial"/>
                <w:sz w:val="21"/>
              </w:rPr>
            </w:pPr>
          </w:p>
          <w:p w14:paraId="7B74926D">
            <w:pPr>
              <w:spacing w:line="241" w:lineRule="auto"/>
              <w:rPr>
                <w:rFonts w:ascii="Arial"/>
                <w:sz w:val="21"/>
              </w:rPr>
            </w:pPr>
          </w:p>
          <w:p w14:paraId="047527A3">
            <w:pPr>
              <w:spacing w:line="241" w:lineRule="auto"/>
              <w:rPr>
                <w:rFonts w:ascii="Arial"/>
                <w:sz w:val="21"/>
              </w:rPr>
            </w:pPr>
          </w:p>
          <w:p w14:paraId="5DAC044A">
            <w:pPr>
              <w:spacing w:line="241" w:lineRule="auto"/>
              <w:rPr>
                <w:rFonts w:ascii="Arial"/>
                <w:sz w:val="21"/>
              </w:rPr>
            </w:pPr>
          </w:p>
          <w:p w14:paraId="6376E340">
            <w:pPr>
              <w:pStyle w:val="6"/>
              <w:spacing w:before="78" w:line="360" w:lineRule="auto"/>
              <w:ind w:left="121" w:right="103" w:firstLine="26"/>
              <w:jc w:val="both"/>
            </w:pPr>
            <w:r>
              <w:rPr>
                <w:color w:val="0D0D0D"/>
                <w:spacing w:val="14"/>
              </w:rPr>
              <w:t>比赛期间指定的住宿/餐饮</w:t>
            </w:r>
            <w:r>
              <w:rPr>
                <w:color w:val="0D0D0D"/>
                <w:spacing w:val="6"/>
              </w:rPr>
              <w:t xml:space="preserve"> </w:t>
            </w:r>
            <w:r>
              <w:rPr>
                <w:color w:val="0D0D0D"/>
                <w:spacing w:val="29"/>
              </w:rPr>
              <w:t>场地符合国家相关资质要</w:t>
            </w:r>
            <w:r>
              <w:rPr>
                <w:color w:val="0D0D0D"/>
                <w:spacing w:val="3"/>
              </w:rPr>
              <w:t xml:space="preserve"> </w:t>
            </w:r>
            <w:r>
              <w:rPr>
                <w:color w:val="0D0D0D"/>
                <w:spacing w:val="6"/>
              </w:rPr>
              <w:t>求。并协调地方卫生部门做</w:t>
            </w:r>
          </w:p>
          <w:p w14:paraId="080E7DD2">
            <w:pPr>
              <w:pStyle w:val="6"/>
              <w:spacing w:line="220" w:lineRule="auto"/>
              <w:ind w:left="120"/>
            </w:pPr>
            <w:r>
              <w:rPr>
                <w:color w:val="0D0D0D"/>
                <w:spacing w:val="-4"/>
              </w:rPr>
              <w:t>好检查工作</w:t>
            </w:r>
          </w:p>
        </w:tc>
        <w:tc>
          <w:tcPr>
            <w:tcW w:w="3264" w:type="dxa"/>
            <w:vAlign w:val="top"/>
          </w:tcPr>
          <w:p w14:paraId="6A2FCB3E">
            <w:pPr>
              <w:pStyle w:val="6"/>
              <w:spacing w:before="118" w:line="360" w:lineRule="auto"/>
              <w:ind w:left="122" w:right="85" w:firstLine="6"/>
              <w:jc w:val="both"/>
            </w:pPr>
            <w:r>
              <w:rPr>
                <w:color w:val="0D0D0D"/>
                <w:spacing w:val="11"/>
              </w:rPr>
              <w:t>立即组织对中毒人员进行救</w:t>
            </w:r>
            <w:r>
              <w:rPr>
                <w:color w:val="0D0D0D"/>
                <w:spacing w:val="10"/>
              </w:rPr>
              <w:t xml:space="preserve"> </w:t>
            </w:r>
            <w:r>
              <w:rPr>
                <w:color w:val="0D0D0D"/>
                <w:spacing w:val="-8"/>
              </w:rPr>
              <w:t>治，必要时送往最近医院进行</w:t>
            </w:r>
            <w:r>
              <w:rPr>
                <w:color w:val="0D0D0D"/>
                <w:spacing w:val="11"/>
              </w:rPr>
              <w:t xml:space="preserve"> </w:t>
            </w:r>
            <w:r>
              <w:rPr>
                <w:color w:val="0D0D0D"/>
                <w:spacing w:val="3"/>
              </w:rPr>
              <w:t>检查治疗</w:t>
            </w:r>
            <w:r>
              <w:rPr>
                <w:color w:val="0D0D0D"/>
                <w:spacing w:val="-66"/>
              </w:rPr>
              <w:t xml:space="preserve"> </w:t>
            </w:r>
            <w:r>
              <w:rPr>
                <w:color w:val="0D0D0D"/>
                <w:spacing w:val="3"/>
              </w:rPr>
              <w:t>。</w:t>
            </w:r>
            <w:r>
              <w:rPr>
                <w:color w:val="0D0D0D"/>
                <w:spacing w:val="-61"/>
              </w:rPr>
              <w:t xml:space="preserve"> </w:t>
            </w:r>
            <w:r>
              <w:rPr>
                <w:color w:val="0D0D0D"/>
                <w:spacing w:val="3"/>
              </w:rPr>
              <w:t>同时对可疑的食</w:t>
            </w:r>
            <w:r>
              <w:rPr>
                <w:color w:val="0D0D0D"/>
              </w:rPr>
              <w:t xml:space="preserve"> </w:t>
            </w:r>
            <w:r>
              <w:rPr>
                <w:color w:val="0D0D0D"/>
                <w:spacing w:val="-8"/>
              </w:rPr>
              <w:t>品、饮水及其有关原料、工具</w:t>
            </w:r>
            <w:r>
              <w:rPr>
                <w:color w:val="0D0D0D"/>
                <w:spacing w:val="11"/>
              </w:rPr>
              <w:t xml:space="preserve"> </w:t>
            </w:r>
            <w:r>
              <w:rPr>
                <w:color w:val="0D0D0D"/>
                <w:spacing w:val="12"/>
              </w:rPr>
              <w:t>设备和场所以及可能受污染</w:t>
            </w:r>
            <w:r>
              <w:rPr>
                <w:color w:val="0D0D0D"/>
                <w:spacing w:val="5"/>
              </w:rPr>
              <w:t xml:space="preserve"> </w:t>
            </w:r>
            <w:r>
              <w:rPr>
                <w:color w:val="0D0D0D"/>
                <w:spacing w:val="-6"/>
              </w:rPr>
              <w:t>的区域采取保留、控制措施，</w:t>
            </w:r>
            <w:r>
              <w:rPr>
                <w:color w:val="0D0D0D"/>
                <w:spacing w:val="7"/>
              </w:rPr>
              <w:t xml:space="preserve"> </w:t>
            </w:r>
            <w:r>
              <w:rPr>
                <w:color w:val="0D0D0D"/>
                <w:spacing w:val="-8"/>
              </w:rPr>
              <w:t>组织开展现场调查，迅速查明</w:t>
            </w:r>
            <w:r>
              <w:rPr>
                <w:color w:val="0D0D0D"/>
                <w:spacing w:val="11"/>
              </w:rPr>
              <w:t xml:space="preserve"> </w:t>
            </w:r>
            <w:r>
              <w:rPr>
                <w:color w:val="0D0D0D"/>
                <w:spacing w:val="-8"/>
              </w:rPr>
              <w:t>原因，并及时向大赛执委会报</w:t>
            </w:r>
          </w:p>
          <w:p w14:paraId="1D79DD43">
            <w:pPr>
              <w:pStyle w:val="6"/>
              <w:spacing w:line="223" w:lineRule="auto"/>
              <w:ind w:left="123"/>
            </w:pPr>
            <w:r>
              <w:rPr>
                <w:color w:val="0D0D0D"/>
              </w:rPr>
              <w:t>告</w:t>
            </w:r>
          </w:p>
        </w:tc>
      </w:tr>
      <w:tr w14:paraId="0686F6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8" w:hRule="atLeast"/>
        </w:trPr>
        <w:tc>
          <w:tcPr>
            <w:tcW w:w="1768" w:type="dxa"/>
            <w:vAlign w:val="top"/>
          </w:tcPr>
          <w:p w14:paraId="0AF97028">
            <w:pPr>
              <w:pStyle w:val="6"/>
              <w:spacing w:before="288" w:line="312" w:lineRule="auto"/>
              <w:ind w:left="127" w:right="108" w:hanging="6"/>
              <w:jc w:val="both"/>
            </w:pPr>
            <w:r>
              <w:rPr>
                <w:color w:val="0D0D0D"/>
                <w:spacing w:val="15"/>
              </w:rPr>
              <w:t>设备损坏（如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  <w:spacing w:val="5"/>
              </w:rPr>
              <w:t>不能启动</w:t>
            </w:r>
            <w:r>
              <w:rPr>
                <w:color w:val="0D0D0D"/>
                <w:spacing w:val="-65"/>
              </w:rPr>
              <w:t xml:space="preserve"> </w:t>
            </w:r>
            <w:r>
              <w:rPr>
                <w:color w:val="0D0D0D"/>
                <w:spacing w:val="5"/>
              </w:rPr>
              <w:t>、反</w:t>
            </w:r>
          </w:p>
          <w:p w14:paraId="4FE0BF0A">
            <w:pPr>
              <w:pStyle w:val="6"/>
              <w:spacing w:line="223" w:lineRule="auto"/>
              <w:ind w:left="133"/>
            </w:pPr>
            <w:r>
              <w:rPr>
                <w:color w:val="0D0D0D"/>
                <w:spacing w:val="-6"/>
              </w:rPr>
              <w:t>复重启等）</w:t>
            </w:r>
          </w:p>
        </w:tc>
        <w:tc>
          <w:tcPr>
            <w:tcW w:w="3194" w:type="dxa"/>
            <w:vAlign w:val="top"/>
          </w:tcPr>
          <w:p w14:paraId="60F20D8E">
            <w:pPr>
              <w:spacing w:line="411" w:lineRule="auto"/>
              <w:rPr>
                <w:rFonts w:ascii="Arial"/>
                <w:sz w:val="21"/>
              </w:rPr>
            </w:pPr>
          </w:p>
          <w:p w14:paraId="15F1C2EE">
            <w:pPr>
              <w:pStyle w:val="6"/>
              <w:spacing w:before="78" w:line="406" w:lineRule="exact"/>
              <w:ind w:left="122"/>
            </w:pPr>
            <w:r>
              <w:rPr>
                <w:color w:val="0D0D0D"/>
                <w:spacing w:val="6"/>
                <w:position w:val="12"/>
              </w:rPr>
              <w:t>提前一天烤机，所有设备开</w:t>
            </w:r>
          </w:p>
          <w:p w14:paraId="282EB64E">
            <w:pPr>
              <w:pStyle w:val="6"/>
              <w:spacing w:before="1" w:line="220" w:lineRule="auto"/>
              <w:ind w:left="120"/>
            </w:pPr>
            <w:r>
              <w:rPr>
                <w:color w:val="0D0D0D"/>
                <w:spacing w:val="-2"/>
              </w:rPr>
              <w:t>机运行，现场放置备机</w:t>
            </w:r>
          </w:p>
        </w:tc>
        <w:tc>
          <w:tcPr>
            <w:tcW w:w="3264" w:type="dxa"/>
            <w:vAlign w:val="top"/>
          </w:tcPr>
          <w:p w14:paraId="5E49154E">
            <w:pPr>
              <w:pStyle w:val="6"/>
              <w:spacing w:before="87" w:line="289" w:lineRule="auto"/>
              <w:ind w:left="123" w:right="105" w:firstLine="3"/>
              <w:jc w:val="both"/>
            </w:pPr>
            <w:r>
              <w:rPr>
                <w:color w:val="0D0D0D"/>
                <w:spacing w:val="-8"/>
              </w:rPr>
              <w:t>参赛选手举手示意后，监考人</w:t>
            </w:r>
            <w:r>
              <w:rPr>
                <w:color w:val="0D0D0D"/>
                <w:spacing w:val="6"/>
              </w:rPr>
              <w:t xml:space="preserve"> </w:t>
            </w:r>
            <w:r>
              <w:rPr>
                <w:color w:val="0D0D0D"/>
                <w:spacing w:val="8"/>
              </w:rPr>
              <w:t>员计时</w:t>
            </w:r>
            <w:r>
              <w:rPr>
                <w:color w:val="0D0D0D"/>
                <w:spacing w:val="-68"/>
              </w:rPr>
              <w:t xml:space="preserve"> </w:t>
            </w:r>
            <w:r>
              <w:rPr>
                <w:color w:val="0D0D0D"/>
                <w:spacing w:val="8"/>
              </w:rPr>
              <w:t>，裁判确认后更换备</w:t>
            </w:r>
            <w:r>
              <w:rPr>
                <w:color w:val="0D0D0D"/>
              </w:rPr>
              <w:t xml:space="preserve"> </w:t>
            </w:r>
            <w:r>
              <w:rPr>
                <w:color w:val="0D0D0D"/>
                <w:spacing w:val="-8"/>
              </w:rPr>
              <w:t>机，并由主裁判确定应计入延</w:t>
            </w:r>
            <w:r>
              <w:rPr>
                <w:color w:val="0D0D0D"/>
                <w:spacing w:val="10"/>
              </w:rPr>
              <w:t xml:space="preserve"> </w:t>
            </w:r>
            <w:r>
              <w:rPr>
                <w:color w:val="0D0D0D"/>
                <w:spacing w:val="-4"/>
              </w:rPr>
              <w:t>时的时间</w:t>
            </w:r>
          </w:p>
        </w:tc>
      </w:tr>
      <w:tr w14:paraId="4E7DD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2" w:hRule="atLeast"/>
        </w:trPr>
        <w:tc>
          <w:tcPr>
            <w:tcW w:w="1768" w:type="dxa"/>
            <w:vAlign w:val="top"/>
          </w:tcPr>
          <w:p w14:paraId="54912028">
            <w:pPr>
              <w:spacing w:line="243" w:lineRule="auto"/>
              <w:rPr>
                <w:rFonts w:ascii="Arial"/>
                <w:sz w:val="21"/>
              </w:rPr>
            </w:pPr>
          </w:p>
          <w:p w14:paraId="5F7F4DFC">
            <w:pPr>
              <w:spacing w:line="243" w:lineRule="auto"/>
              <w:rPr>
                <w:rFonts w:ascii="Arial"/>
                <w:sz w:val="21"/>
              </w:rPr>
            </w:pPr>
          </w:p>
          <w:p w14:paraId="6C05C85F">
            <w:pPr>
              <w:spacing w:line="243" w:lineRule="auto"/>
              <w:rPr>
                <w:rFonts w:ascii="Arial"/>
                <w:sz w:val="21"/>
              </w:rPr>
            </w:pPr>
          </w:p>
          <w:p w14:paraId="6B53D9EF">
            <w:pPr>
              <w:spacing w:line="244" w:lineRule="auto"/>
              <w:rPr>
                <w:rFonts w:ascii="Arial"/>
                <w:sz w:val="21"/>
              </w:rPr>
            </w:pPr>
          </w:p>
          <w:p w14:paraId="60847BC1">
            <w:pPr>
              <w:spacing w:line="244" w:lineRule="auto"/>
              <w:rPr>
                <w:rFonts w:ascii="Arial"/>
                <w:sz w:val="21"/>
              </w:rPr>
            </w:pPr>
          </w:p>
          <w:p w14:paraId="7BFE4A71">
            <w:pPr>
              <w:pStyle w:val="6"/>
              <w:spacing w:before="78" w:line="222" w:lineRule="auto"/>
              <w:ind w:left="121"/>
            </w:pPr>
            <w:r>
              <w:rPr>
                <w:color w:val="0D0D0D"/>
                <w:spacing w:val="-4"/>
              </w:rPr>
              <w:t>设备掉电</w:t>
            </w:r>
          </w:p>
        </w:tc>
        <w:tc>
          <w:tcPr>
            <w:tcW w:w="3194" w:type="dxa"/>
            <w:vAlign w:val="top"/>
          </w:tcPr>
          <w:p w14:paraId="070A6310">
            <w:pPr>
              <w:pStyle w:val="6"/>
              <w:spacing w:before="83" w:line="299" w:lineRule="auto"/>
              <w:ind w:left="122" w:right="103" w:firstLine="4"/>
            </w:pPr>
            <w:r>
              <w:rPr>
                <w:color w:val="0D0D0D"/>
                <w:spacing w:val="6"/>
              </w:rPr>
              <w:t>竞赛前技术人员及监考人员</w:t>
            </w:r>
            <w:r>
              <w:rPr>
                <w:color w:val="0D0D0D"/>
                <w:spacing w:val="5"/>
              </w:rPr>
              <w:t xml:space="preserve"> </w:t>
            </w:r>
            <w:r>
              <w:rPr>
                <w:color w:val="0D0D0D"/>
                <w:spacing w:val="6"/>
              </w:rPr>
              <w:t>检查所有电源插头，确保牢</w:t>
            </w:r>
            <w:r>
              <w:rPr>
                <w:color w:val="0D0D0D"/>
                <w:spacing w:val="9"/>
              </w:rPr>
              <w:t xml:space="preserve"> </w:t>
            </w:r>
            <w:r>
              <w:rPr>
                <w:color w:val="0D0D0D"/>
                <w:spacing w:val="2"/>
              </w:rPr>
              <w:t>固；</w:t>
            </w:r>
            <w:r>
              <w:rPr>
                <w:color w:val="0D0D0D"/>
                <w:spacing w:val="-63"/>
              </w:rPr>
              <w:t xml:space="preserve"> </w:t>
            </w:r>
            <w:r>
              <w:rPr>
                <w:color w:val="0D0D0D"/>
                <w:spacing w:val="2"/>
              </w:rPr>
              <w:t>电源线尽量绑扎在参赛</w:t>
            </w:r>
            <w:r>
              <w:rPr>
                <w:color w:val="0D0D0D"/>
              </w:rPr>
              <w:t xml:space="preserve"> </w:t>
            </w:r>
            <w:r>
              <w:rPr>
                <w:color w:val="0D0D0D"/>
                <w:spacing w:val="6"/>
              </w:rPr>
              <w:t>选手碰不到的地方，如桌子</w:t>
            </w:r>
            <w:r>
              <w:rPr>
                <w:color w:val="0D0D0D"/>
                <w:spacing w:val="9"/>
              </w:rPr>
              <w:t xml:space="preserve"> </w:t>
            </w:r>
            <w:r>
              <w:rPr>
                <w:color w:val="0D0D0D"/>
                <w:spacing w:val="6"/>
              </w:rPr>
              <w:t>后面等；竞赛前提醒参赛选</w:t>
            </w:r>
            <w:r>
              <w:rPr>
                <w:color w:val="0D0D0D"/>
                <w:spacing w:val="9"/>
              </w:rPr>
              <w:t xml:space="preserve"> </w:t>
            </w:r>
            <w:r>
              <w:rPr>
                <w:color w:val="0D0D0D"/>
                <w:spacing w:val="6"/>
              </w:rPr>
              <w:t>手注意尽量不要碰到电源，</w:t>
            </w:r>
            <w:r>
              <w:rPr>
                <w:color w:val="0D0D0D"/>
                <w:spacing w:val="9"/>
              </w:rPr>
              <w:t xml:space="preserve"> </w:t>
            </w:r>
            <w:r>
              <w:rPr>
                <w:color w:val="0D0D0D"/>
                <w:spacing w:val="-2"/>
              </w:rPr>
              <w:t>配置文件要随时保存</w:t>
            </w:r>
          </w:p>
        </w:tc>
        <w:tc>
          <w:tcPr>
            <w:tcW w:w="3264" w:type="dxa"/>
            <w:vAlign w:val="top"/>
          </w:tcPr>
          <w:p w14:paraId="14E9D100">
            <w:pPr>
              <w:spacing w:line="306" w:lineRule="auto"/>
              <w:rPr>
                <w:rFonts w:ascii="Arial"/>
                <w:sz w:val="21"/>
              </w:rPr>
            </w:pPr>
          </w:p>
          <w:p w14:paraId="07B3FF1D">
            <w:pPr>
              <w:spacing w:line="307" w:lineRule="auto"/>
              <w:rPr>
                <w:rFonts w:ascii="Arial"/>
                <w:sz w:val="21"/>
              </w:rPr>
            </w:pPr>
          </w:p>
          <w:p w14:paraId="29220E4E">
            <w:pPr>
              <w:pStyle w:val="6"/>
              <w:spacing w:before="78" w:line="312" w:lineRule="auto"/>
              <w:ind w:left="122" w:right="105" w:firstLine="4"/>
              <w:jc w:val="both"/>
            </w:pPr>
            <w:r>
              <w:rPr>
                <w:color w:val="0D0D0D"/>
                <w:spacing w:val="-8"/>
              </w:rPr>
              <w:t>参赛选手举手示意后，监考人</w:t>
            </w:r>
            <w:r>
              <w:rPr>
                <w:color w:val="0D0D0D"/>
                <w:spacing w:val="6"/>
              </w:rPr>
              <w:t xml:space="preserve"> </w:t>
            </w:r>
            <w:r>
              <w:rPr>
                <w:color w:val="0D0D0D"/>
                <w:spacing w:val="8"/>
              </w:rPr>
              <w:t>员计时</w:t>
            </w:r>
            <w:r>
              <w:rPr>
                <w:color w:val="0D0D0D"/>
                <w:spacing w:val="-67"/>
              </w:rPr>
              <w:t xml:space="preserve"> </w:t>
            </w:r>
            <w:r>
              <w:rPr>
                <w:color w:val="0D0D0D"/>
                <w:spacing w:val="8"/>
              </w:rPr>
              <w:t>，裁判确认后重启机</w:t>
            </w:r>
            <w:r>
              <w:rPr>
                <w:color w:val="0D0D0D"/>
              </w:rPr>
              <w:t xml:space="preserve"> </w:t>
            </w:r>
            <w:r>
              <w:rPr>
                <w:color w:val="0D0D0D"/>
                <w:spacing w:val="-8"/>
              </w:rPr>
              <w:t>器，并由主裁判确定应计入延</w:t>
            </w:r>
          </w:p>
          <w:p w14:paraId="289BAF28">
            <w:pPr>
              <w:pStyle w:val="6"/>
              <w:spacing w:line="223" w:lineRule="auto"/>
              <w:ind w:left="140"/>
            </w:pPr>
            <w:r>
              <w:rPr>
                <w:color w:val="0D0D0D"/>
                <w:spacing w:val="-9"/>
              </w:rPr>
              <w:t>时的时间</w:t>
            </w:r>
          </w:p>
        </w:tc>
      </w:tr>
      <w:tr w14:paraId="14381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1768" w:type="dxa"/>
            <w:vAlign w:val="top"/>
          </w:tcPr>
          <w:p w14:paraId="32D4EF7B">
            <w:pPr>
              <w:spacing w:line="253" w:lineRule="auto"/>
              <w:rPr>
                <w:rFonts w:ascii="Arial"/>
                <w:sz w:val="21"/>
              </w:rPr>
            </w:pPr>
          </w:p>
          <w:p w14:paraId="2F640455">
            <w:pPr>
              <w:spacing w:line="254" w:lineRule="auto"/>
              <w:rPr>
                <w:rFonts w:ascii="Arial"/>
                <w:sz w:val="21"/>
              </w:rPr>
            </w:pPr>
          </w:p>
          <w:p w14:paraId="095B5EA6">
            <w:pPr>
              <w:pStyle w:val="6"/>
              <w:spacing w:before="78" w:line="468" w:lineRule="exact"/>
              <w:ind w:left="121"/>
            </w:pPr>
            <w:r>
              <w:rPr>
                <w:color w:val="0D0D0D"/>
                <w:spacing w:val="15"/>
                <w:position w:val="17"/>
              </w:rPr>
              <w:t>现场网络线缆</w:t>
            </w:r>
          </w:p>
          <w:p w14:paraId="712B5FFE">
            <w:pPr>
              <w:pStyle w:val="6"/>
              <w:spacing w:line="221" w:lineRule="auto"/>
              <w:ind w:left="123"/>
            </w:pPr>
            <w:r>
              <w:rPr>
                <w:color w:val="0D0D0D"/>
                <w:spacing w:val="-9"/>
              </w:rPr>
              <w:t>故障</w:t>
            </w:r>
          </w:p>
        </w:tc>
        <w:tc>
          <w:tcPr>
            <w:tcW w:w="3194" w:type="dxa"/>
            <w:vAlign w:val="top"/>
          </w:tcPr>
          <w:p w14:paraId="6B02B220">
            <w:pPr>
              <w:pStyle w:val="6"/>
              <w:spacing w:before="120" w:line="360" w:lineRule="auto"/>
              <w:ind w:left="120" w:right="103"/>
              <w:jc w:val="both"/>
            </w:pPr>
            <w:r>
              <w:rPr>
                <w:color w:val="0D0D0D"/>
                <w:spacing w:val="7"/>
              </w:rPr>
              <w:t>现场走线要规范，尽量走暗</w:t>
            </w:r>
            <w:r>
              <w:rPr>
                <w:color w:val="0D0D0D"/>
              </w:rPr>
              <w:t xml:space="preserve"> </w:t>
            </w:r>
            <w:r>
              <w:rPr>
                <w:color w:val="0D0D0D"/>
                <w:spacing w:val="7"/>
              </w:rPr>
              <w:t>槽或现场人员接触不到的地</w:t>
            </w:r>
            <w:r>
              <w:rPr>
                <w:color w:val="0D0D0D"/>
              </w:rPr>
              <w:t xml:space="preserve"> </w:t>
            </w:r>
            <w:r>
              <w:rPr>
                <w:color w:val="0D0D0D"/>
                <w:spacing w:val="7"/>
              </w:rPr>
              <w:t>方；对主要线路要在走线槽</w:t>
            </w:r>
          </w:p>
          <w:p w14:paraId="2F8BF616">
            <w:pPr>
              <w:pStyle w:val="6"/>
              <w:spacing w:line="222" w:lineRule="auto"/>
              <w:ind w:left="150"/>
            </w:pPr>
            <w:r>
              <w:rPr>
                <w:color w:val="0D0D0D"/>
                <w:spacing w:val="-10"/>
              </w:rPr>
              <w:t>内留有备线</w:t>
            </w:r>
          </w:p>
        </w:tc>
        <w:tc>
          <w:tcPr>
            <w:tcW w:w="3264" w:type="dxa"/>
            <w:vAlign w:val="top"/>
          </w:tcPr>
          <w:p w14:paraId="4364782D">
            <w:pPr>
              <w:spacing w:line="246" w:lineRule="auto"/>
              <w:rPr>
                <w:rFonts w:ascii="Arial"/>
                <w:sz w:val="21"/>
              </w:rPr>
            </w:pPr>
          </w:p>
          <w:p w14:paraId="6DAEF818">
            <w:pPr>
              <w:spacing w:line="246" w:lineRule="auto"/>
              <w:rPr>
                <w:rFonts w:ascii="Arial"/>
                <w:sz w:val="21"/>
              </w:rPr>
            </w:pPr>
          </w:p>
          <w:p w14:paraId="27D90BEF">
            <w:pPr>
              <w:spacing w:line="246" w:lineRule="auto"/>
              <w:rPr>
                <w:rFonts w:ascii="Arial"/>
                <w:sz w:val="21"/>
              </w:rPr>
            </w:pPr>
          </w:p>
          <w:p w14:paraId="3B3C184C">
            <w:pPr>
              <w:pStyle w:val="6"/>
              <w:spacing w:before="78" w:line="224" w:lineRule="auto"/>
              <w:ind w:left="127"/>
            </w:pPr>
            <w:r>
              <w:rPr>
                <w:color w:val="0D0D0D"/>
                <w:spacing w:val="-5"/>
              </w:rPr>
              <w:t>启用备线</w:t>
            </w:r>
          </w:p>
        </w:tc>
      </w:tr>
    </w:tbl>
    <w:p w14:paraId="1D65CA71">
      <w:pPr>
        <w:pStyle w:val="2"/>
        <w:spacing w:before="207" w:line="224" w:lineRule="auto"/>
        <w:ind w:left="592"/>
      </w:pPr>
      <w:r>
        <w:rPr>
          <w:spacing w:val="-2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（五）处罚措施</w:t>
      </w:r>
    </w:p>
    <w:p w14:paraId="254FB4DE">
      <w:pPr>
        <w:pStyle w:val="2"/>
        <w:spacing w:before="220" w:line="222" w:lineRule="auto"/>
        <w:ind w:left="603"/>
      </w:pPr>
      <w:r>
        <w:rPr>
          <w:spacing w:val="-3"/>
        </w:rPr>
        <w:t>1.</w:t>
      </w:r>
      <w:r>
        <w:rPr>
          <w:spacing w:val="49"/>
        </w:rPr>
        <w:t xml:space="preserve"> </w:t>
      </w:r>
      <w:r>
        <w:rPr>
          <w:spacing w:val="-3"/>
        </w:rPr>
        <w:t>因参赛队伍原因造成重大安全事故的，取消其获奖资格。</w:t>
      </w:r>
    </w:p>
    <w:p w14:paraId="349A19CE">
      <w:pPr>
        <w:pStyle w:val="2"/>
        <w:spacing w:before="224" w:line="559" w:lineRule="exact"/>
        <w:ind w:right="14"/>
        <w:jc w:val="right"/>
      </w:pPr>
      <w:r>
        <w:rPr>
          <w:spacing w:val="1"/>
          <w:position w:val="20"/>
        </w:rPr>
        <w:t>2. 参赛队伍有发生重大安全事故隐患，经赛场工作人员提示、</w:t>
      </w:r>
    </w:p>
    <w:p w14:paraId="63EEFD18">
      <w:pPr>
        <w:pStyle w:val="2"/>
        <w:spacing w:line="222" w:lineRule="auto"/>
        <w:ind w:left="31"/>
      </w:pPr>
      <w:r>
        <w:rPr>
          <w:spacing w:val="-1"/>
        </w:rPr>
        <w:t>警告无效的，可取消其继续比赛的资格。</w:t>
      </w:r>
    </w:p>
    <w:p w14:paraId="34247AFE">
      <w:pPr>
        <w:pStyle w:val="2"/>
        <w:spacing w:before="222" w:line="561" w:lineRule="exact"/>
        <w:ind w:right="13"/>
        <w:jc w:val="right"/>
      </w:pPr>
      <w:r>
        <w:rPr>
          <w:spacing w:val="1"/>
          <w:position w:val="21"/>
        </w:rPr>
        <w:t>3. 赛事工作人员违规的，按照相应的制度追究责任。情节恶劣</w:t>
      </w:r>
    </w:p>
    <w:p w14:paraId="05ED9B6B">
      <w:pPr>
        <w:pStyle w:val="2"/>
        <w:spacing w:before="1" w:line="220" w:lineRule="auto"/>
        <w:ind w:left="36"/>
      </w:pPr>
      <w:r>
        <w:rPr>
          <w:spacing w:val="-1"/>
        </w:rPr>
        <w:t>并造成重大安全事故的，由司法机关追究相应法律责任。</w:t>
      </w:r>
    </w:p>
    <w:p w14:paraId="2C1FE864">
      <w:pPr>
        <w:spacing w:line="220" w:lineRule="auto"/>
        <w:sectPr>
          <w:footerReference r:id="rId17" w:type="default"/>
          <w:pgSz w:w="11906" w:h="16839"/>
          <w:pgMar w:top="1431" w:right="1785" w:bottom="1142" w:left="1785" w:header="0" w:footer="979" w:gutter="0"/>
          <w:cols w:space="720" w:num="1"/>
        </w:sectPr>
      </w:pPr>
    </w:p>
    <w:p w14:paraId="60A96879">
      <w:pPr>
        <w:spacing w:before="216" w:line="222" w:lineRule="auto"/>
        <w:ind w:left="587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十一、竞赛须知</w:t>
      </w:r>
    </w:p>
    <w:p w14:paraId="538B0AE8">
      <w:pPr>
        <w:pStyle w:val="2"/>
        <w:spacing w:before="222" w:line="224" w:lineRule="auto"/>
        <w:ind w:left="592"/>
      </w:pPr>
      <w:r>
        <w:rPr>
          <w:spacing w:val="-2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（一）参赛队须知</w:t>
      </w:r>
    </w:p>
    <w:p w14:paraId="1F0B7595">
      <w:pPr>
        <w:pStyle w:val="2"/>
        <w:spacing w:before="219" w:line="562" w:lineRule="exact"/>
        <w:ind w:left="603"/>
      </w:pPr>
      <w:r>
        <w:rPr>
          <w:position w:val="21"/>
        </w:rPr>
        <w:t>1. 参赛队组成。每支参赛队由</w:t>
      </w:r>
      <w:r>
        <w:rPr>
          <w:spacing w:val="-53"/>
          <w:position w:val="21"/>
        </w:rPr>
        <w:t xml:space="preserve"> </w:t>
      </w:r>
      <w:r>
        <w:rPr>
          <w:position w:val="21"/>
        </w:rPr>
        <w:t>2</w:t>
      </w:r>
      <w:r>
        <w:rPr>
          <w:spacing w:val="-50"/>
          <w:position w:val="21"/>
        </w:rPr>
        <w:t xml:space="preserve"> </w:t>
      </w:r>
      <w:r>
        <w:rPr>
          <w:position w:val="21"/>
        </w:rPr>
        <w:t>名符合参赛资格学生组成，性</w:t>
      </w:r>
    </w:p>
    <w:p w14:paraId="54D77103">
      <w:pPr>
        <w:pStyle w:val="2"/>
        <w:spacing w:before="1" w:line="222" w:lineRule="auto"/>
        <w:ind w:left="36"/>
      </w:pPr>
      <w:r>
        <w:rPr>
          <w:spacing w:val="-6"/>
        </w:rPr>
        <w:t>别不限。</w:t>
      </w:r>
    </w:p>
    <w:p w14:paraId="6E3D24D8">
      <w:pPr>
        <w:pStyle w:val="2"/>
        <w:spacing w:before="221" w:line="559" w:lineRule="exact"/>
        <w:ind w:left="586"/>
      </w:pPr>
      <w:r>
        <w:rPr>
          <w:position w:val="20"/>
        </w:rPr>
        <w:t>2. 指导教师。每支参赛队最多可配指导教师</w:t>
      </w:r>
      <w:r>
        <w:rPr>
          <w:spacing w:val="-57"/>
          <w:position w:val="20"/>
        </w:rPr>
        <w:t xml:space="preserve"> </w:t>
      </w:r>
      <w:r>
        <w:rPr>
          <w:position w:val="20"/>
        </w:rPr>
        <w:t>2</w:t>
      </w:r>
      <w:r>
        <w:rPr>
          <w:spacing w:val="-47"/>
          <w:position w:val="20"/>
        </w:rPr>
        <w:t xml:space="preserve"> </w:t>
      </w:r>
      <w:r>
        <w:rPr>
          <w:position w:val="20"/>
        </w:rPr>
        <w:t>名，指导</w:t>
      </w:r>
      <w:r>
        <w:rPr>
          <w:spacing w:val="-1"/>
          <w:position w:val="20"/>
        </w:rPr>
        <w:t>教师经</w:t>
      </w:r>
    </w:p>
    <w:p w14:paraId="2499A716">
      <w:pPr>
        <w:pStyle w:val="2"/>
        <w:spacing w:before="1" w:line="220" w:lineRule="auto"/>
        <w:ind w:left="32"/>
      </w:pPr>
      <w:r>
        <w:rPr>
          <w:spacing w:val="-2"/>
        </w:rPr>
        <w:t>报名并通过资格审查后确定。</w:t>
      </w:r>
    </w:p>
    <w:p w14:paraId="3E26097E">
      <w:pPr>
        <w:pStyle w:val="2"/>
        <w:spacing w:before="227" w:line="559" w:lineRule="exact"/>
        <w:ind w:left="588"/>
      </w:pPr>
      <w:r>
        <w:rPr>
          <w:spacing w:val="-1"/>
          <w:position w:val="21"/>
        </w:rPr>
        <w:t>3.</w:t>
      </w:r>
      <w:r>
        <w:rPr>
          <w:spacing w:val="58"/>
          <w:position w:val="21"/>
        </w:rPr>
        <w:t xml:space="preserve"> </w:t>
      </w:r>
      <w:r>
        <w:rPr>
          <w:spacing w:val="-1"/>
          <w:position w:val="21"/>
        </w:rPr>
        <w:t>已在省大赛平台提交的报名信息，网上报名期间允许更改报</w:t>
      </w:r>
    </w:p>
    <w:p w14:paraId="2A1742E1">
      <w:pPr>
        <w:pStyle w:val="2"/>
        <w:spacing w:before="1" w:line="222" w:lineRule="auto"/>
        <w:ind w:left="33"/>
      </w:pPr>
      <w:r>
        <w:rPr>
          <w:spacing w:val="-2"/>
        </w:rPr>
        <w:t>名信息；超过截止日期，不允许更改。</w:t>
      </w:r>
    </w:p>
    <w:p w14:paraId="104AA2F3">
      <w:pPr>
        <w:pStyle w:val="2"/>
        <w:spacing w:before="222" w:line="223" w:lineRule="auto"/>
        <w:ind w:left="592"/>
      </w:pPr>
      <w:r>
        <w:rPr>
          <w:spacing w:val="-2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（二）指导教师须知</w:t>
      </w:r>
    </w:p>
    <w:p w14:paraId="703889B6">
      <w:pPr>
        <w:pStyle w:val="2"/>
        <w:spacing w:before="223" w:line="559" w:lineRule="exact"/>
        <w:ind w:left="603"/>
      </w:pPr>
      <w:r>
        <w:rPr>
          <w:spacing w:val="-4"/>
          <w:position w:val="20"/>
        </w:rPr>
        <w:t>1.各参赛代表队要发扬良好道德风尚，听从指挥，服从裁判，不</w:t>
      </w:r>
    </w:p>
    <w:p w14:paraId="0849BB10">
      <w:pPr>
        <w:pStyle w:val="2"/>
        <w:spacing w:before="1" w:line="220" w:lineRule="auto"/>
        <w:ind w:left="39"/>
      </w:pPr>
      <w:r>
        <w:rPr>
          <w:spacing w:val="-1"/>
        </w:rPr>
        <w:t>弄虚作假。如发现弄虚作假者，取消参赛资格，名次无效。</w:t>
      </w:r>
    </w:p>
    <w:p w14:paraId="403DCE1C">
      <w:pPr>
        <w:pStyle w:val="2"/>
        <w:spacing w:before="225" w:line="561" w:lineRule="exact"/>
        <w:ind w:left="586"/>
      </w:pPr>
      <w:r>
        <w:rPr>
          <w:spacing w:val="-4"/>
          <w:position w:val="21"/>
        </w:rPr>
        <w:t>2.各代表队领队要坚决执行竞赛的各项规定，加强对参赛人员的</w:t>
      </w:r>
    </w:p>
    <w:p w14:paraId="7B1BA88C">
      <w:pPr>
        <w:pStyle w:val="2"/>
        <w:spacing w:before="2" w:line="220" w:lineRule="auto"/>
        <w:ind w:left="48"/>
      </w:pPr>
      <w:r>
        <w:rPr>
          <w:spacing w:val="-1"/>
        </w:rPr>
        <w:t>管理，做好赛前准备工作，督促选手带好证件等</w:t>
      </w:r>
      <w:r>
        <w:rPr>
          <w:spacing w:val="-2"/>
        </w:rPr>
        <w:t>竞赛相关材料。</w:t>
      </w:r>
    </w:p>
    <w:p w14:paraId="77C9FA57">
      <w:pPr>
        <w:pStyle w:val="2"/>
        <w:spacing w:before="225" w:line="369" w:lineRule="auto"/>
        <w:ind w:left="37" w:right="242" w:firstLine="551"/>
      </w:pPr>
      <w:r>
        <w:rPr>
          <w:spacing w:val="-4"/>
        </w:rPr>
        <w:t>3.竞赛过程中，除参加当场次竞赛的选手、执行裁判员、现场工</w:t>
      </w:r>
      <w:r>
        <w:rPr>
          <w:spacing w:val="6"/>
        </w:rPr>
        <w:t xml:space="preserve"> </w:t>
      </w:r>
      <w:r>
        <w:rPr>
          <w:spacing w:val="-4"/>
        </w:rPr>
        <w:t>作人员和经批准的人员外，领队、指导教师及其他人员一律不得进入</w:t>
      </w:r>
    </w:p>
    <w:p w14:paraId="4F5A1868">
      <w:pPr>
        <w:pStyle w:val="2"/>
        <w:spacing w:before="1" w:line="223" w:lineRule="auto"/>
        <w:ind w:left="40"/>
      </w:pPr>
      <w:r>
        <w:rPr>
          <w:spacing w:val="-6"/>
        </w:rPr>
        <w:t>竞赛现场。</w:t>
      </w:r>
    </w:p>
    <w:p w14:paraId="0F61146F">
      <w:pPr>
        <w:pStyle w:val="2"/>
        <w:spacing w:before="220" w:line="560" w:lineRule="exact"/>
        <w:ind w:left="581"/>
      </w:pPr>
      <w:r>
        <w:rPr>
          <w:spacing w:val="-4"/>
          <w:position w:val="21"/>
        </w:rPr>
        <w:t>4.参赛代表队若对竞赛过程有异议，在规定的时间内由领队向赛</w:t>
      </w:r>
    </w:p>
    <w:p w14:paraId="64067C74">
      <w:pPr>
        <w:pStyle w:val="2"/>
        <w:spacing w:before="1" w:line="220" w:lineRule="auto"/>
        <w:ind w:left="33"/>
      </w:pPr>
      <w:r>
        <w:rPr>
          <w:spacing w:val="-2"/>
        </w:rPr>
        <w:t>项仲裁工作组提出书面报告。</w:t>
      </w:r>
    </w:p>
    <w:p w14:paraId="5D04CE11">
      <w:pPr>
        <w:pStyle w:val="2"/>
        <w:spacing w:before="226" w:line="560" w:lineRule="exact"/>
        <w:ind w:left="588"/>
      </w:pPr>
      <w:r>
        <w:rPr>
          <w:spacing w:val="-8"/>
          <w:position w:val="20"/>
        </w:rPr>
        <w:t>5.对申诉的仲裁结果，领队要带头服从和执行</w:t>
      </w:r>
      <w:r>
        <w:rPr>
          <w:spacing w:val="-9"/>
          <w:position w:val="20"/>
        </w:rPr>
        <w:t>，并做好选手工作。</w:t>
      </w:r>
    </w:p>
    <w:p w14:paraId="1572370E">
      <w:pPr>
        <w:pStyle w:val="2"/>
        <w:spacing w:before="1" w:line="222" w:lineRule="auto"/>
        <w:jc w:val="right"/>
      </w:pPr>
      <w:r>
        <w:rPr>
          <w:spacing w:val="-5"/>
        </w:rPr>
        <w:t>参赛选手不得因申诉或对处理意见不服而停止竞赛，否则以弃权处理。</w:t>
      </w:r>
    </w:p>
    <w:p w14:paraId="7ACC8F24">
      <w:pPr>
        <w:pStyle w:val="2"/>
        <w:spacing w:before="220" w:line="370" w:lineRule="auto"/>
        <w:ind w:left="41" w:right="242" w:firstLine="543"/>
      </w:pPr>
      <w:r>
        <w:rPr>
          <w:spacing w:val="-4"/>
        </w:rPr>
        <w:t>6.指导老师应及时查看大赛专用网页有关赛项的通知和内容，认</w:t>
      </w:r>
      <w:r>
        <w:rPr>
          <w:spacing w:val="10"/>
        </w:rPr>
        <w:t xml:space="preserve"> </w:t>
      </w:r>
      <w:r>
        <w:rPr>
          <w:spacing w:val="-4"/>
        </w:rPr>
        <w:t>真研究和掌握本赛项竞赛的规程、技术规范和赛场要求，指导选</w:t>
      </w:r>
      <w:r>
        <w:rPr>
          <w:spacing w:val="-5"/>
        </w:rPr>
        <w:t>手做</w:t>
      </w:r>
    </w:p>
    <w:p w14:paraId="1DF8FF26">
      <w:pPr>
        <w:pStyle w:val="2"/>
        <w:spacing w:line="222" w:lineRule="auto"/>
        <w:ind w:left="32"/>
      </w:pPr>
      <w:r>
        <w:rPr>
          <w:spacing w:val="-2"/>
        </w:rPr>
        <w:t>好赛前的一切技术准备和竞赛准备。</w:t>
      </w:r>
    </w:p>
    <w:p w14:paraId="5258443D">
      <w:pPr>
        <w:pStyle w:val="2"/>
        <w:spacing w:before="222" w:line="224" w:lineRule="auto"/>
        <w:ind w:left="592"/>
      </w:pPr>
      <w:r>
        <w:rPr>
          <w:spacing w:val="-2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（三）参赛选手须知</w:t>
      </w:r>
    </w:p>
    <w:p w14:paraId="003F8303">
      <w:pPr>
        <w:spacing w:line="224" w:lineRule="auto"/>
        <w:sectPr>
          <w:footerReference r:id="rId18" w:type="default"/>
          <w:pgSz w:w="11906" w:h="16839"/>
          <w:pgMar w:top="1431" w:right="1556" w:bottom="1142" w:left="1785" w:header="0" w:footer="979" w:gutter="0"/>
          <w:cols w:space="720" w:num="1"/>
        </w:sectPr>
      </w:pPr>
    </w:p>
    <w:p w14:paraId="7D2756F3">
      <w:pPr>
        <w:pStyle w:val="2"/>
        <w:spacing w:before="217" w:line="559" w:lineRule="exact"/>
        <w:ind w:left="603"/>
      </w:pPr>
      <w:r>
        <w:rPr>
          <w:position w:val="20"/>
        </w:rPr>
        <w:t>1. 竞赛选手严格遵守赛场规章、操作规程和工艺准则，保证人</w:t>
      </w:r>
    </w:p>
    <w:p w14:paraId="677E805F">
      <w:pPr>
        <w:pStyle w:val="2"/>
        <w:spacing w:before="1" w:line="223" w:lineRule="auto"/>
        <w:ind w:left="32"/>
      </w:pPr>
      <w:r>
        <w:rPr>
          <w:spacing w:val="-1"/>
        </w:rPr>
        <w:t>身及设备安全，接受裁判员的监督和警示，文明竞赛。</w:t>
      </w:r>
    </w:p>
    <w:p w14:paraId="1F071492">
      <w:pPr>
        <w:pStyle w:val="2"/>
        <w:spacing w:before="219" w:line="562" w:lineRule="exact"/>
        <w:ind w:left="586"/>
      </w:pPr>
      <w:r>
        <w:rPr>
          <w:spacing w:val="1"/>
          <w:position w:val="21"/>
        </w:rPr>
        <w:t>2. 参赛选手在检录时需将身份证、学生证、参赛证等身份证件</w:t>
      </w:r>
    </w:p>
    <w:p w14:paraId="7C3A5A39">
      <w:pPr>
        <w:pStyle w:val="2"/>
        <w:spacing w:before="1" w:line="220" w:lineRule="auto"/>
        <w:ind w:left="39"/>
      </w:pPr>
      <w:r>
        <w:rPr>
          <w:spacing w:val="-2"/>
        </w:rPr>
        <w:t>交由检录人员统一保管，不得带入场内。</w:t>
      </w:r>
    </w:p>
    <w:p w14:paraId="44220A33">
      <w:pPr>
        <w:pStyle w:val="2"/>
        <w:spacing w:before="225" w:line="369" w:lineRule="auto"/>
        <w:ind w:left="40" w:right="93" w:firstLine="548"/>
      </w:pPr>
      <w:r>
        <w:rPr>
          <w:spacing w:val="-8"/>
        </w:rPr>
        <w:t>3. 参赛选手进入赛场，不允许携带任何书</w:t>
      </w:r>
      <w:r>
        <w:rPr>
          <w:spacing w:val="-9"/>
        </w:rPr>
        <w:t>籍和其他纸质资料（相</w:t>
      </w:r>
      <w:r>
        <w:t xml:space="preserve"> </w:t>
      </w:r>
      <w:r>
        <w:rPr>
          <w:spacing w:val="-2"/>
        </w:rPr>
        <w:t>关技术资料的电子文档由赛项执委会提供</w:t>
      </w:r>
      <w:r>
        <w:rPr>
          <w:spacing w:val="-33"/>
        </w:rPr>
        <w:t>），</w:t>
      </w:r>
      <w:r>
        <w:rPr>
          <w:spacing w:val="-2"/>
        </w:rPr>
        <w:t>不允许携带任何通信工</w:t>
      </w:r>
    </w:p>
    <w:p w14:paraId="7EFDC9DD">
      <w:pPr>
        <w:pStyle w:val="2"/>
        <w:spacing w:line="220" w:lineRule="auto"/>
        <w:ind w:left="36"/>
      </w:pPr>
      <w:r>
        <w:rPr>
          <w:spacing w:val="-1"/>
        </w:rPr>
        <w:t>具和存储设备。竞赛统一提供计算机以及应用软件。</w:t>
      </w:r>
    </w:p>
    <w:p w14:paraId="67232D96">
      <w:pPr>
        <w:pStyle w:val="2"/>
        <w:spacing w:before="225" w:line="559" w:lineRule="exact"/>
        <w:ind w:left="581"/>
      </w:pPr>
      <w:r>
        <w:rPr>
          <w:spacing w:val="1"/>
          <w:position w:val="21"/>
        </w:rPr>
        <w:t>4. 各参赛队应在竞赛开始前一天规定的时间段进入赛场熟悉环</w:t>
      </w:r>
    </w:p>
    <w:p w14:paraId="02EC197C">
      <w:pPr>
        <w:pStyle w:val="2"/>
        <w:spacing w:before="1" w:line="220" w:lineRule="auto"/>
        <w:ind w:left="36"/>
      </w:pPr>
      <w:r>
        <w:rPr>
          <w:spacing w:val="-2"/>
        </w:rPr>
        <w:t>境，但不得触碰任何比赛设备及材料。</w:t>
      </w:r>
    </w:p>
    <w:p w14:paraId="176FE01A">
      <w:pPr>
        <w:pStyle w:val="2"/>
        <w:spacing w:before="226" w:line="369" w:lineRule="auto"/>
        <w:ind w:left="38" w:right="93" w:firstLine="550"/>
      </w:pPr>
      <w:r>
        <w:rPr>
          <w:spacing w:val="1"/>
        </w:rPr>
        <w:t xml:space="preserve">5. 竞赛时，在收到开赛信号前不得启动操作，各参赛队自行决 </w:t>
      </w:r>
      <w:r>
        <w:rPr>
          <w:spacing w:val="-4"/>
        </w:rPr>
        <w:t>定分工、工作程序和时间安排，在指定赛位上完成竞赛项目，严禁作</w:t>
      </w:r>
    </w:p>
    <w:p w14:paraId="27E75AFE">
      <w:pPr>
        <w:pStyle w:val="2"/>
        <w:spacing w:before="1" w:line="221" w:lineRule="auto"/>
        <w:ind w:left="32"/>
      </w:pPr>
      <w:r>
        <w:rPr>
          <w:spacing w:val="-5"/>
        </w:rPr>
        <w:t>弊行为。</w:t>
      </w:r>
    </w:p>
    <w:p w14:paraId="7FC88E77">
      <w:pPr>
        <w:pStyle w:val="2"/>
        <w:spacing w:before="225" w:line="369" w:lineRule="auto"/>
        <w:ind w:left="34" w:right="13" w:firstLine="550"/>
      </w:pPr>
      <w:r>
        <w:rPr>
          <w:spacing w:val="-8"/>
        </w:rPr>
        <w:t>6. 竞赛过程中，因严重操作失误或安全事故不能进</w:t>
      </w:r>
      <w:r>
        <w:rPr>
          <w:spacing w:val="-9"/>
        </w:rPr>
        <w:t>行比赛的（例</w:t>
      </w:r>
      <w:r>
        <w:t xml:space="preserve"> </w:t>
      </w:r>
      <w:r>
        <w:rPr>
          <w:spacing w:val="-4"/>
        </w:rPr>
        <w:t>如因综合布线发生短路导致赛场断电的、造</w:t>
      </w:r>
      <w:r>
        <w:rPr>
          <w:spacing w:val="-5"/>
        </w:rPr>
        <w:t>成设备不能正常工作的</w:t>
      </w:r>
      <w:r>
        <w:rPr>
          <w:spacing w:val="-71"/>
          <w:w w:val="91"/>
        </w:rPr>
        <w:t>），</w:t>
      </w:r>
    </w:p>
    <w:p w14:paraId="34AB9F2A">
      <w:pPr>
        <w:pStyle w:val="2"/>
        <w:spacing w:before="1" w:line="222" w:lineRule="auto"/>
        <w:ind w:left="31"/>
      </w:pPr>
      <w:r>
        <w:rPr>
          <w:spacing w:val="-2"/>
        </w:rPr>
        <w:t>现场裁判员有权中止该队比赛。</w:t>
      </w:r>
    </w:p>
    <w:p w14:paraId="1D759D87">
      <w:pPr>
        <w:pStyle w:val="2"/>
        <w:spacing w:before="224" w:line="220" w:lineRule="auto"/>
        <w:ind w:left="589"/>
      </w:pPr>
      <w:r>
        <w:rPr>
          <w:spacing w:val="-1"/>
        </w:rPr>
        <w:t>7. 凡在竞赛期间提前离开的选手，当天不得返回赛场。</w:t>
      </w:r>
    </w:p>
    <w:p w14:paraId="50DEE1AF">
      <w:pPr>
        <w:pStyle w:val="2"/>
        <w:spacing w:before="227" w:line="369" w:lineRule="auto"/>
        <w:ind w:left="33" w:firstLine="550"/>
      </w:pPr>
      <w:r>
        <w:rPr>
          <w:spacing w:val="1"/>
        </w:rPr>
        <w:t>8. 为培养技能型人才的工作风格，在参赛期间，选手应当注意</w:t>
      </w:r>
      <w:r>
        <w:rPr>
          <w:spacing w:val="6"/>
        </w:rPr>
        <w:t xml:space="preserve"> </w:t>
      </w:r>
      <w:r>
        <w:rPr>
          <w:spacing w:val="-11"/>
        </w:rPr>
        <w:t>保持工作环境及设备摆放符合企业生产“6S</w:t>
      </w:r>
      <w:r>
        <w:rPr>
          <w:spacing w:val="-89"/>
        </w:rPr>
        <w:t xml:space="preserve"> </w:t>
      </w:r>
      <w:r>
        <w:rPr>
          <w:spacing w:val="-11"/>
        </w:rPr>
        <w:t>”（即整理、整顿、清扫、</w:t>
      </w:r>
    </w:p>
    <w:p w14:paraId="4824ACFE">
      <w:pPr>
        <w:pStyle w:val="2"/>
        <w:spacing w:before="1" w:line="221" w:lineRule="auto"/>
        <w:jc w:val="right"/>
      </w:pPr>
      <w:r>
        <w:rPr>
          <w:spacing w:val="-2"/>
        </w:rPr>
        <w:t>清洁、素养和安全）的原则，如果过于脏乱，裁判员有权酌情扣分。</w:t>
      </w:r>
    </w:p>
    <w:p w14:paraId="7BE71FB0">
      <w:pPr>
        <w:pStyle w:val="2"/>
        <w:spacing w:before="223" w:line="559" w:lineRule="exact"/>
        <w:ind w:left="584"/>
      </w:pPr>
      <w:r>
        <w:rPr>
          <w:spacing w:val="1"/>
          <w:position w:val="21"/>
        </w:rPr>
        <w:t>9. 在竞赛中如遇非人为因素造成的设备故障，经裁判确认后，</w:t>
      </w:r>
    </w:p>
    <w:p w14:paraId="7FFD6D24">
      <w:pPr>
        <w:pStyle w:val="2"/>
        <w:spacing w:before="1" w:line="220" w:lineRule="auto"/>
        <w:ind w:left="37"/>
      </w:pPr>
      <w:r>
        <w:rPr>
          <w:spacing w:val="-2"/>
        </w:rPr>
        <w:t>可向裁判长申请补足排除故障的时间。</w:t>
      </w:r>
    </w:p>
    <w:p w14:paraId="2F893FAC">
      <w:pPr>
        <w:pStyle w:val="2"/>
        <w:spacing w:before="227" w:line="559" w:lineRule="exact"/>
        <w:ind w:left="603"/>
      </w:pPr>
      <w:r>
        <w:rPr>
          <w:spacing w:val="-4"/>
          <w:position w:val="21"/>
        </w:rPr>
        <w:t>10. 参赛队欲提前结束比赛，应向现场裁判员举手示意，</w:t>
      </w:r>
      <w:r>
        <w:rPr>
          <w:spacing w:val="-5"/>
          <w:position w:val="21"/>
        </w:rPr>
        <w:t>记录比</w:t>
      </w:r>
    </w:p>
    <w:p w14:paraId="1946BEDF">
      <w:pPr>
        <w:pStyle w:val="2"/>
        <w:spacing w:before="1" w:line="220" w:lineRule="auto"/>
        <w:ind w:left="32"/>
      </w:pPr>
      <w:r>
        <w:rPr>
          <w:spacing w:val="-1"/>
        </w:rPr>
        <w:t>赛终止时间。比赛终止后，不得再进行任何与比赛有关的操作。</w:t>
      </w:r>
    </w:p>
    <w:p w14:paraId="4838D42C">
      <w:pPr>
        <w:pStyle w:val="2"/>
        <w:spacing w:before="225" w:line="220" w:lineRule="auto"/>
        <w:ind w:left="603"/>
      </w:pPr>
      <w:r>
        <w:rPr>
          <w:spacing w:val="-4"/>
        </w:rPr>
        <w:t>11. 各竞赛队按照大赛要求和赛题要求提交竞赛成果</w:t>
      </w:r>
      <w:r>
        <w:rPr>
          <w:spacing w:val="-5"/>
        </w:rPr>
        <w:t>，禁止在竞</w:t>
      </w:r>
    </w:p>
    <w:p w14:paraId="7551E5F2">
      <w:pPr>
        <w:spacing w:line="220" w:lineRule="auto"/>
        <w:sectPr>
          <w:footerReference r:id="rId19" w:type="default"/>
          <w:pgSz w:w="11906" w:h="16839"/>
          <w:pgMar w:top="1431" w:right="1705" w:bottom="1142" w:left="1785" w:header="0" w:footer="979" w:gutter="0"/>
          <w:cols w:space="720" w:num="1"/>
        </w:sectPr>
      </w:pPr>
    </w:p>
    <w:p w14:paraId="12F6BB19">
      <w:pPr>
        <w:pStyle w:val="2"/>
        <w:spacing w:before="217" w:line="223" w:lineRule="auto"/>
        <w:ind w:left="32"/>
      </w:pPr>
      <w:r>
        <w:rPr>
          <w:spacing w:val="-2"/>
        </w:rPr>
        <w:t>赛成果上做任何与竞赛无关的记号。</w:t>
      </w:r>
    </w:p>
    <w:p w14:paraId="61ECF3BB">
      <w:pPr>
        <w:pStyle w:val="2"/>
        <w:spacing w:before="220" w:line="560" w:lineRule="exact"/>
        <w:ind w:left="599"/>
      </w:pPr>
      <w:r>
        <w:rPr>
          <w:spacing w:val="-4"/>
          <w:position w:val="21"/>
        </w:rPr>
        <w:t>竞赛操作结束后，参赛队要确认成功提交竞赛</w:t>
      </w:r>
      <w:r>
        <w:rPr>
          <w:spacing w:val="-5"/>
          <w:position w:val="21"/>
        </w:rPr>
        <w:t>要求的文件，裁判</w:t>
      </w:r>
    </w:p>
    <w:p w14:paraId="03C639BD">
      <w:pPr>
        <w:pStyle w:val="2"/>
        <w:spacing w:line="220" w:lineRule="auto"/>
        <w:ind w:left="54"/>
      </w:pPr>
      <w:r>
        <w:rPr>
          <w:spacing w:val="-2"/>
        </w:rPr>
        <w:t>员在比赛结果的规定位置做标记，并与参赛队一起签字确认。</w:t>
      </w:r>
    </w:p>
    <w:p w14:paraId="31C3AA51">
      <w:pPr>
        <w:pStyle w:val="2"/>
        <w:spacing w:before="227" w:line="221" w:lineRule="auto"/>
        <w:ind w:left="592"/>
      </w:pPr>
      <w:r>
        <w:rPr>
          <w:spacing w:val="-2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（四）工作人员须知</w:t>
      </w:r>
    </w:p>
    <w:p w14:paraId="5D4F27F1">
      <w:pPr>
        <w:pStyle w:val="2"/>
        <w:spacing w:before="224" w:line="559" w:lineRule="exact"/>
        <w:ind w:left="603"/>
      </w:pPr>
      <w:r>
        <w:rPr>
          <w:position w:val="20"/>
        </w:rPr>
        <w:t>1. 熟悉竞赛规则，服从管理，严格按照工作程序和有关规定办</w:t>
      </w:r>
    </w:p>
    <w:p w14:paraId="5D822476">
      <w:pPr>
        <w:pStyle w:val="2"/>
        <w:spacing w:before="1" w:line="223" w:lineRule="auto"/>
        <w:ind w:left="32"/>
      </w:pPr>
      <w:r>
        <w:rPr>
          <w:spacing w:val="-9"/>
        </w:rPr>
        <w:t>事。</w:t>
      </w:r>
    </w:p>
    <w:p w14:paraId="6BCBD4F6">
      <w:pPr>
        <w:pStyle w:val="2"/>
        <w:spacing w:before="221" w:line="369" w:lineRule="auto"/>
        <w:ind w:left="34" w:right="101" w:firstLine="551"/>
      </w:pPr>
      <w:r>
        <w:rPr>
          <w:spacing w:val="1"/>
        </w:rPr>
        <w:t>2. 树立服务观念，本着一切为参赛选手着想的原则，以高度负</w:t>
      </w:r>
      <w:r>
        <w:rPr>
          <w:spacing w:val="4"/>
        </w:rPr>
        <w:t xml:space="preserve"> </w:t>
      </w:r>
      <w:r>
        <w:rPr>
          <w:spacing w:val="-4"/>
        </w:rPr>
        <w:t>责的精神、严肃认真的态度和严谨细致的作风，积极完成大赛工作任</w:t>
      </w:r>
    </w:p>
    <w:p w14:paraId="11BE6122">
      <w:pPr>
        <w:pStyle w:val="2"/>
        <w:spacing w:before="1" w:line="223" w:lineRule="auto"/>
        <w:ind w:left="40"/>
      </w:pPr>
      <w:r>
        <w:rPr>
          <w:spacing w:val="-13"/>
        </w:rPr>
        <w:t>务。</w:t>
      </w:r>
    </w:p>
    <w:p w14:paraId="0F5F9C2E">
      <w:pPr>
        <w:pStyle w:val="2"/>
        <w:spacing w:before="221" w:line="222" w:lineRule="auto"/>
        <w:ind w:left="588"/>
      </w:pPr>
      <w:r>
        <w:rPr>
          <w:spacing w:val="-1"/>
        </w:rPr>
        <w:t>3. 按规定佩戴胸卡，文明礼貌，保持良好形象。</w:t>
      </w:r>
    </w:p>
    <w:p w14:paraId="1041B3A5">
      <w:pPr>
        <w:pStyle w:val="2"/>
        <w:spacing w:before="223" w:line="560" w:lineRule="exact"/>
        <w:ind w:left="581"/>
      </w:pPr>
      <w:r>
        <w:rPr>
          <w:spacing w:val="1"/>
          <w:position w:val="21"/>
        </w:rPr>
        <w:t>4. 坚守工作岗位，不迟到，不早退，不无故离岗，特殊情况向</w:t>
      </w:r>
    </w:p>
    <w:p w14:paraId="4F436337">
      <w:pPr>
        <w:pStyle w:val="2"/>
        <w:spacing w:before="1" w:line="220" w:lineRule="auto"/>
        <w:ind w:left="33"/>
      </w:pPr>
      <w:r>
        <w:rPr>
          <w:spacing w:val="-4"/>
        </w:rPr>
        <w:t>组长请假。</w:t>
      </w:r>
    </w:p>
    <w:p w14:paraId="78C7B7C9">
      <w:pPr>
        <w:pStyle w:val="2"/>
        <w:spacing w:before="227" w:line="559" w:lineRule="exact"/>
        <w:ind w:left="588"/>
      </w:pPr>
      <w:r>
        <w:rPr>
          <w:spacing w:val="1"/>
          <w:position w:val="21"/>
        </w:rPr>
        <w:t>5. 遇安全突发事件，按照工作预案及时组织疏散，确保人员安</w:t>
      </w:r>
    </w:p>
    <w:p w14:paraId="18192F43">
      <w:pPr>
        <w:pStyle w:val="2"/>
        <w:spacing w:before="1" w:line="233" w:lineRule="auto"/>
        <w:ind w:left="39"/>
      </w:pPr>
      <w:r>
        <w:rPr>
          <w:spacing w:val="-13"/>
        </w:rPr>
        <w:t>全。</w:t>
      </w:r>
    </w:p>
    <w:p w14:paraId="57F27338">
      <w:pPr>
        <w:pStyle w:val="2"/>
        <w:spacing w:before="204" w:line="221" w:lineRule="auto"/>
        <w:jc w:val="right"/>
      </w:pPr>
      <w:r>
        <w:rPr>
          <w:spacing w:val="-5"/>
        </w:rPr>
        <w:t>6. 未经同意不得擅自发布关于比赛的言论，不得私自接受采访。</w:t>
      </w:r>
    </w:p>
    <w:p w14:paraId="2D4C435D">
      <w:pPr>
        <w:spacing w:before="227" w:line="221" w:lineRule="auto"/>
        <w:ind w:left="587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十二、申诉与仲裁</w:t>
      </w:r>
    </w:p>
    <w:p w14:paraId="724D13F2">
      <w:pPr>
        <w:pStyle w:val="2"/>
        <w:spacing w:before="224" w:line="559" w:lineRule="exact"/>
        <w:ind w:right="79"/>
        <w:jc w:val="right"/>
      </w:pPr>
      <w:r>
        <w:rPr>
          <w:spacing w:val="-3"/>
          <w:position w:val="21"/>
        </w:rPr>
        <w:t>本赛项在比赛过程中若出现有失公正或有关人</w:t>
      </w:r>
      <w:r>
        <w:rPr>
          <w:spacing w:val="-4"/>
          <w:position w:val="21"/>
        </w:rPr>
        <w:t>员违规等现象，参</w:t>
      </w:r>
    </w:p>
    <w:p w14:paraId="65F41158">
      <w:pPr>
        <w:pStyle w:val="2"/>
        <w:spacing w:line="220" w:lineRule="auto"/>
        <w:ind w:left="32"/>
      </w:pPr>
      <w:r>
        <w:rPr>
          <w:spacing w:val="-2"/>
        </w:rPr>
        <w:t>赛队领队可在比赛结束后</w:t>
      </w:r>
      <w:r>
        <w:rPr>
          <w:spacing w:val="-54"/>
        </w:rPr>
        <w:t xml:space="preserve"> </w:t>
      </w:r>
      <w:r>
        <w:rPr>
          <w:spacing w:val="-2"/>
        </w:rPr>
        <w:t>2</w:t>
      </w:r>
      <w:r>
        <w:rPr>
          <w:spacing w:val="-50"/>
        </w:rPr>
        <w:t xml:space="preserve"> </w:t>
      </w:r>
      <w:r>
        <w:rPr>
          <w:spacing w:val="-2"/>
        </w:rPr>
        <w:t>小时之内向仲裁组提出书面申诉。</w:t>
      </w:r>
    </w:p>
    <w:p w14:paraId="6FC4FFCC">
      <w:pPr>
        <w:pStyle w:val="2"/>
        <w:spacing w:before="227" w:line="369" w:lineRule="auto"/>
        <w:ind w:left="42" w:right="101" w:firstLine="562"/>
      </w:pPr>
      <w:r>
        <w:rPr>
          <w:spacing w:val="-5"/>
        </w:rPr>
        <w:t>书面申诉应对申诉事件的现象、发生时间、涉及人员、申诉依据</w:t>
      </w:r>
      <w:r>
        <w:rPr>
          <w:spacing w:val="14"/>
        </w:rPr>
        <w:t xml:space="preserve"> </w:t>
      </w:r>
      <w:r>
        <w:rPr>
          <w:spacing w:val="-4"/>
        </w:rPr>
        <w:t>等进行充分、实事求是的叙述，并由领队亲笔签名。非书面</w:t>
      </w:r>
      <w:r>
        <w:rPr>
          <w:spacing w:val="-5"/>
        </w:rPr>
        <w:t>申诉不予</w:t>
      </w:r>
    </w:p>
    <w:p w14:paraId="325610CC">
      <w:pPr>
        <w:pStyle w:val="2"/>
        <w:spacing w:line="225" w:lineRule="auto"/>
        <w:ind w:left="45"/>
      </w:pPr>
      <w:r>
        <w:rPr>
          <w:spacing w:val="-10"/>
        </w:rPr>
        <w:t>受理。</w:t>
      </w:r>
    </w:p>
    <w:p w14:paraId="35D38BB0">
      <w:pPr>
        <w:pStyle w:val="2"/>
        <w:spacing w:before="221" w:line="559" w:lineRule="exact"/>
        <w:ind w:left="591"/>
      </w:pPr>
      <w:r>
        <w:rPr>
          <w:spacing w:val="-5"/>
          <w:position w:val="21"/>
        </w:rPr>
        <w:t>赛项仲裁工作组在接到申诉报告后的</w:t>
      </w:r>
      <w:r>
        <w:rPr>
          <w:spacing w:val="-57"/>
          <w:position w:val="21"/>
        </w:rPr>
        <w:t xml:space="preserve"> </w:t>
      </w:r>
      <w:r>
        <w:rPr>
          <w:spacing w:val="-5"/>
          <w:position w:val="21"/>
        </w:rPr>
        <w:t>2</w:t>
      </w:r>
      <w:r>
        <w:rPr>
          <w:spacing w:val="-51"/>
          <w:position w:val="21"/>
        </w:rPr>
        <w:t xml:space="preserve"> </w:t>
      </w:r>
      <w:r>
        <w:rPr>
          <w:spacing w:val="-5"/>
          <w:position w:val="21"/>
        </w:rPr>
        <w:t>小时内组织复议，</w:t>
      </w:r>
      <w:r>
        <w:rPr>
          <w:spacing w:val="-6"/>
          <w:position w:val="21"/>
        </w:rPr>
        <w:t>并及时</w:t>
      </w:r>
    </w:p>
    <w:p w14:paraId="786837BE">
      <w:pPr>
        <w:pStyle w:val="2"/>
        <w:spacing w:line="222" w:lineRule="auto"/>
        <w:ind w:left="33"/>
      </w:pPr>
      <w:r>
        <w:rPr>
          <w:spacing w:val="-2"/>
        </w:rPr>
        <w:t>将复议结果以书面形式告知申诉方。</w:t>
      </w:r>
    </w:p>
    <w:sectPr>
      <w:footerReference r:id="rId20" w:type="default"/>
      <w:pgSz w:w="11906" w:h="16839"/>
      <w:pgMar w:top="1431" w:right="1698" w:bottom="1142" w:left="1785" w:header="0" w:footer="97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5A634">
    <w:pPr>
      <w:spacing w:line="176" w:lineRule="auto"/>
      <w:ind w:left="395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1344F">
    <w:pPr>
      <w:spacing w:line="176" w:lineRule="auto"/>
      <w:ind w:left="395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12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94855A">
    <w:pPr>
      <w:spacing w:line="176" w:lineRule="auto"/>
      <w:ind w:left="395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13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0EED0">
    <w:pPr>
      <w:spacing w:line="176" w:lineRule="auto"/>
      <w:ind w:left="395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14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0849A">
    <w:pPr>
      <w:spacing w:line="176" w:lineRule="auto"/>
      <w:ind w:left="395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15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61C97">
    <w:pPr>
      <w:spacing w:line="176" w:lineRule="auto"/>
      <w:ind w:left="395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16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E9BBB">
    <w:pPr>
      <w:spacing w:line="176" w:lineRule="auto"/>
      <w:ind w:left="395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17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D0103">
    <w:pPr>
      <w:spacing w:line="176" w:lineRule="auto"/>
      <w:ind w:left="395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B3B45">
    <w:pPr>
      <w:spacing w:line="176" w:lineRule="auto"/>
      <w:ind w:left="394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36639">
    <w:pPr>
      <w:spacing w:line="176" w:lineRule="auto"/>
      <w:ind w:left="394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38810">
    <w:pPr>
      <w:spacing w:line="176" w:lineRule="auto"/>
      <w:ind w:left="404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D9F6E">
    <w:pPr>
      <w:spacing w:line="173" w:lineRule="auto"/>
      <w:ind w:left="404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541C8">
    <w:pPr>
      <w:spacing w:line="176" w:lineRule="auto"/>
      <w:ind w:left="404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8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3121F">
    <w:pPr>
      <w:spacing w:line="176" w:lineRule="auto"/>
      <w:ind w:left="404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9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08607">
    <w:pPr>
      <w:spacing w:line="176" w:lineRule="auto"/>
      <w:ind w:left="405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10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9F36D">
    <w:pPr>
      <w:spacing w:line="176" w:lineRule="auto"/>
      <w:ind w:left="395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sz w:val="18"/>
        <w:szCs w:val="18"/>
      </w:rPr>
      <w:t>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RjMDlmZjVmN2ZhZGQ5MjJjMmU3MzA1YWY5YmI1ZDYifQ=="/>
  </w:docVars>
  <w:rsids>
    <w:rsidRoot w:val="00000000"/>
    <w:rsid w:val="0AC378F0"/>
    <w:rsid w:val="13555802"/>
    <w:rsid w:val="15D926BD"/>
    <w:rsid w:val="1947532F"/>
    <w:rsid w:val="30F825C4"/>
    <w:rsid w:val="441B3214"/>
    <w:rsid w:val="5E13531F"/>
    <w:rsid w:val="66056DCE"/>
    <w:rsid w:val="78595845"/>
    <w:rsid w:val="7A5C1F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image" Target="media/image1.jpeg"/><Relationship Id="rId21" Type="http://schemas.openxmlformats.org/officeDocument/2006/relationships/theme" Target="theme/theme1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19</Pages>
  <Words>8653</Words>
  <Characters>9391</Characters>
  <TotalTime>1121</TotalTime>
  <ScaleCrop>false</ScaleCrop>
  <LinksUpToDate>false</LinksUpToDate>
  <CharactersWithSpaces>9862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2023-09-21T11:36:00Z</dcterms:created>
  <dc:creator>User</dc:creator>
  <cp:lastModifiedBy>落彧</cp:lastModifiedBy>
  <dcterms:modified xsi:type="dcterms:W3CDTF">2026-06-16T02:02:54Z</dcterms:modified>
  <dc:title>2014年全国职业院校技能大赛高职组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2023-09-25T13:45:42Z</vt:filetime>
  </property>
  <property fmtid="{D5CDD505-2E9C-101B-9397-08002B2CF9AE}" pid="4" name="KSOProductBuildVer">
    <vt:lpwstr>2052-12.1.0.21541</vt:lpwstr>
  </property>
  <property fmtid="{D5CDD505-2E9C-101B-9397-08002B2CF9AE}" pid="5" name="ICV">
    <vt:lpwstr>47C4F12F0165445292E81013AA694D18_13</vt:lpwstr>
  </property>
  <property fmtid="{D5CDD505-2E9C-101B-9397-08002B2CF9AE}" pid="6" name="KSOTemplateDocerSaveRecord">
    <vt:lpwstr>eyJoZGlkIjoiODg5Yjc5OTAxNzZjOTA5OGUxMzY4OTQ2OTc1NmJiNTAiLCJ1c2VySWQiOiI0MDY0NjI4MDUifQ==</vt:lpwstr>
  </property>
</Properties>
</file>