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032F9">
      <w:pPr>
        <w:jc w:val="center"/>
        <w:rPr>
          <w:sz w:val="52"/>
          <w:szCs w:val="52"/>
        </w:rPr>
      </w:pPr>
    </w:p>
    <w:p w14:paraId="2B7898C0">
      <w:pPr>
        <w:jc w:val="center"/>
        <w:rPr>
          <w:sz w:val="52"/>
          <w:szCs w:val="52"/>
        </w:rPr>
      </w:pPr>
    </w:p>
    <w:p w14:paraId="141C0FBE">
      <w:pPr>
        <w:jc w:val="center"/>
        <w:rPr>
          <w:sz w:val="52"/>
          <w:szCs w:val="52"/>
        </w:rPr>
      </w:pPr>
    </w:p>
    <w:p w14:paraId="1936EDD7">
      <w:pPr>
        <w:jc w:val="center"/>
        <w:rPr>
          <w:sz w:val="52"/>
          <w:szCs w:val="52"/>
        </w:rPr>
      </w:pPr>
      <w:r>
        <w:rPr>
          <w:sz w:val="52"/>
          <w:szCs w:val="52"/>
        </w:rPr>
        <w:t>202</w:t>
      </w:r>
      <w:r>
        <w:rPr>
          <w:rFonts w:hint="eastAsia"/>
          <w:sz w:val="52"/>
          <w:szCs w:val="52"/>
          <w:lang w:val="en-US" w:eastAsia="zh-CN"/>
        </w:rPr>
        <w:t>6</w:t>
      </w:r>
      <w:r>
        <w:rPr>
          <w:sz w:val="52"/>
          <w:szCs w:val="52"/>
        </w:rPr>
        <w:t xml:space="preserve"> 年</w:t>
      </w:r>
      <w:r>
        <w:rPr>
          <w:rFonts w:hint="eastAsia"/>
          <w:sz w:val="52"/>
          <w:szCs w:val="52"/>
        </w:rPr>
        <w:t>唐山</w:t>
      </w:r>
      <w:r>
        <w:rPr>
          <w:sz w:val="52"/>
          <w:szCs w:val="52"/>
        </w:rPr>
        <w:t>市</w:t>
      </w:r>
      <w:r>
        <w:rPr>
          <w:rFonts w:hint="eastAsia"/>
          <w:sz w:val="52"/>
          <w:szCs w:val="52"/>
          <w:lang w:eastAsia="zh-CN"/>
        </w:rPr>
        <w:t>物流</w:t>
      </w:r>
      <w:r>
        <w:rPr>
          <w:sz w:val="52"/>
          <w:szCs w:val="52"/>
        </w:rPr>
        <w:t>叉车技能赛项（中职组）技能大赛</w:t>
      </w:r>
    </w:p>
    <w:p w14:paraId="21E478C2">
      <w:pPr>
        <w:rPr>
          <w:sz w:val="52"/>
          <w:szCs w:val="52"/>
        </w:rPr>
      </w:pPr>
    </w:p>
    <w:p w14:paraId="15829B0A"/>
    <w:p w14:paraId="69C902FC"/>
    <w:p w14:paraId="3D8C8190">
      <w:pPr>
        <w:rPr>
          <w:sz w:val="52"/>
          <w:szCs w:val="52"/>
        </w:rPr>
      </w:pPr>
    </w:p>
    <w:p w14:paraId="7A385EA6">
      <w:pPr>
        <w:jc w:val="center"/>
        <w:rPr>
          <w:sz w:val="52"/>
          <w:szCs w:val="52"/>
        </w:rPr>
      </w:pPr>
      <w:r>
        <w:rPr>
          <w:sz w:val="52"/>
          <w:szCs w:val="52"/>
        </w:rPr>
        <w:t>竞</w:t>
      </w:r>
    </w:p>
    <w:p w14:paraId="4F9AAF4E">
      <w:pPr>
        <w:jc w:val="center"/>
        <w:rPr>
          <w:sz w:val="52"/>
          <w:szCs w:val="52"/>
        </w:rPr>
      </w:pPr>
      <w:r>
        <w:rPr>
          <w:sz w:val="52"/>
          <w:szCs w:val="52"/>
        </w:rPr>
        <w:t>赛</w:t>
      </w:r>
    </w:p>
    <w:p w14:paraId="3BC3FD23">
      <w:pPr>
        <w:jc w:val="center"/>
        <w:rPr>
          <w:sz w:val="52"/>
          <w:szCs w:val="52"/>
        </w:rPr>
      </w:pPr>
      <w:r>
        <w:rPr>
          <w:sz w:val="52"/>
          <w:szCs w:val="52"/>
        </w:rPr>
        <w:t>规</w:t>
      </w:r>
    </w:p>
    <w:p w14:paraId="72B3A5E8">
      <w:pPr>
        <w:jc w:val="center"/>
        <w:rPr>
          <w:sz w:val="52"/>
          <w:szCs w:val="52"/>
        </w:rPr>
      </w:pPr>
      <w:r>
        <w:rPr>
          <w:sz w:val="52"/>
          <w:szCs w:val="52"/>
        </w:rPr>
        <w:t>程</w:t>
      </w:r>
    </w:p>
    <w:p w14:paraId="257BE5C3">
      <w:pPr>
        <w:rPr>
          <w:sz w:val="52"/>
          <w:szCs w:val="52"/>
        </w:rPr>
      </w:pPr>
    </w:p>
    <w:p w14:paraId="2CEF9BED"/>
    <w:p w14:paraId="7488FD78"/>
    <w:p w14:paraId="4B20EC62"/>
    <w:p w14:paraId="59009CC6"/>
    <w:p w14:paraId="0A10B197"/>
    <w:p w14:paraId="0084D622"/>
    <w:p w14:paraId="7E334033">
      <w:pPr>
        <w:rPr>
          <w:sz w:val="28"/>
          <w:szCs w:val="28"/>
        </w:rPr>
      </w:pPr>
    </w:p>
    <w:p w14:paraId="18A6AF6C">
      <w:pPr>
        <w:rPr>
          <w:sz w:val="28"/>
          <w:szCs w:val="28"/>
        </w:rPr>
      </w:pPr>
      <w:r>
        <w:rPr>
          <w:sz w:val="28"/>
          <w:szCs w:val="28"/>
        </w:rPr>
        <w:t>一、赛项名称</w:t>
      </w:r>
    </w:p>
    <w:p w14:paraId="5D68F12B">
      <w:pPr>
        <w:rPr>
          <w:sz w:val="28"/>
          <w:szCs w:val="28"/>
        </w:rPr>
      </w:pPr>
      <w:r>
        <w:rPr>
          <w:sz w:val="28"/>
          <w:szCs w:val="28"/>
        </w:rPr>
        <w:t xml:space="preserve"> 赛项名称：202</w:t>
      </w:r>
      <w:r>
        <w:rPr>
          <w:rFonts w:hint="eastAsia"/>
          <w:sz w:val="28"/>
          <w:szCs w:val="28"/>
          <w:lang w:val="en-US" w:eastAsia="zh-CN"/>
        </w:rPr>
        <w:t>6</w:t>
      </w:r>
      <w:r>
        <w:rPr>
          <w:sz w:val="28"/>
          <w:szCs w:val="28"/>
        </w:rPr>
        <w:t>年</w:t>
      </w:r>
      <w:r>
        <w:rPr>
          <w:rFonts w:hint="eastAsia"/>
          <w:sz w:val="28"/>
          <w:szCs w:val="28"/>
        </w:rPr>
        <w:t>唐山</w:t>
      </w:r>
      <w:r>
        <w:rPr>
          <w:sz w:val="28"/>
          <w:szCs w:val="28"/>
        </w:rPr>
        <w:t>市</w:t>
      </w:r>
      <w:r>
        <w:rPr>
          <w:rFonts w:hint="eastAsia"/>
          <w:sz w:val="28"/>
          <w:szCs w:val="28"/>
          <w:lang w:eastAsia="zh-CN"/>
        </w:rPr>
        <w:t>物流</w:t>
      </w:r>
      <w:r>
        <w:rPr>
          <w:sz w:val="28"/>
          <w:szCs w:val="28"/>
        </w:rPr>
        <w:t>叉车技能赛项（中职组）技能大赛</w:t>
      </w:r>
    </w:p>
    <w:p w14:paraId="38D6E48C">
      <w:pPr>
        <w:rPr>
          <w:sz w:val="28"/>
          <w:szCs w:val="28"/>
        </w:rPr>
      </w:pPr>
      <w:r>
        <w:rPr>
          <w:sz w:val="28"/>
          <w:szCs w:val="28"/>
        </w:rPr>
        <w:t xml:space="preserve"> 赛项组别：中职组 </w:t>
      </w:r>
    </w:p>
    <w:p w14:paraId="2F4963F2">
      <w:pPr>
        <w:rPr>
          <w:sz w:val="28"/>
          <w:szCs w:val="28"/>
        </w:rPr>
      </w:pPr>
      <w:r>
        <w:rPr>
          <w:sz w:val="28"/>
          <w:szCs w:val="28"/>
        </w:rPr>
        <w:t xml:space="preserve">二、竞赛项目 </w:t>
      </w:r>
    </w:p>
    <w:p w14:paraId="37FC8ED5">
      <w:pPr>
        <w:rPr>
          <w:sz w:val="28"/>
          <w:szCs w:val="28"/>
        </w:rPr>
      </w:pPr>
      <w:r>
        <w:rPr>
          <w:rFonts w:hint="eastAsia"/>
          <w:sz w:val="28"/>
          <w:szCs w:val="28"/>
          <w:lang w:eastAsia="zh-CN"/>
        </w:rPr>
        <w:t>物流</w:t>
      </w:r>
      <w:r>
        <w:rPr>
          <w:sz w:val="28"/>
          <w:szCs w:val="28"/>
        </w:rPr>
        <w:t xml:space="preserve">叉车技能 </w:t>
      </w:r>
    </w:p>
    <w:p w14:paraId="34F51D8E">
      <w:pPr>
        <w:rPr>
          <w:sz w:val="28"/>
          <w:szCs w:val="28"/>
        </w:rPr>
      </w:pPr>
      <w:r>
        <w:rPr>
          <w:sz w:val="28"/>
          <w:szCs w:val="28"/>
        </w:rPr>
        <w:t>三、竞赛内容及流程说明</w:t>
      </w:r>
    </w:p>
    <w:p w14:paraId="470109A8">
      <w:pPr>
        <w:rPr>
          <w:sz w:val="28"/>
          <w:szCs w:val="28"/>
        </w:rPr>
      </w:pPr>
      <w:r>
        <w:rPr>
          <w:sz w:val="28"/>
          <w:szCs w:val="28"/>
        </w:rPr>
        <w:t>项目：</w:t>
      </w:r>
      <w:r>
        <w:rPr>
          <w:rFonts w:hint="eastAsia"/>
          <w:sz w:val="28"/>
          <w:szCs w:val="28"/>
          <w:lang w:eastAsia="zh-CN"/>
        </w:rPr>
        <w:t>物流</w:t>
      </w:r>
      <w:r>
        <w:rPr>
          <w:sz w:val="28"/>
          <w:szCs w:val="28"/>
        </w:rPr>
        <w:t>叉车技能</w:t>
      </w:r>
    </w:p>
    <w:p w14:paraId="541057CA">
      <w:pPr>
        <w:rPr>
          <w:sz w:val="28"/>
          <w:szCs w:val="28"/>
        </w:rPr>
      </w:pPr>
      <w:r>
        <w:rPr>
          <w:sz w:val="28"/>
          <w:szCs w:val="28"/>
        </w:rPr>
        <w:t xml:space="preserve"> （一）竞赛内容 </w:t>
      </w:r>
    </w:p>
    <w:p w14:paraId="04C51531">
      <w:pPr>
        <w:ind w:firstLine="560" w:firstLineChars="200"/>
        <w:rPr>
          <w:sz w:val="28"/>
          <w:szCs w:val="28"/>
        </w:rPr>
      </w:pPr>
      <w:r>
        <w:rPr>
          <w:rFonts w:hint="eastAsia"/>
          <w:sz w:val="28"/>
          <w:szCs w:val="28"/>
          <w:lang w:eastAsia="zh-CN"/>
        </w:rPr>
        <w:t>物流</w:t>
      </w:r>
      <w:r>
        <w:rPr>
          <w:sz w:val="28"/>
          <w:szCs w:val="28"/>
        </w:rPr>
        <w:t xml:space="preserve">叉车技能赛项竞赛为单人赛，竞赛考核形式电动（燃油）叉车 技能实操内容。实操阶段参赛选手根据比赛规定的线路和作业单（上架指示单、移库指示单）完成各项操作，主要操作内容包括：起步前准备、叉运货物、货物上架、货物移库、入库停车等。 </w:t>
      </w:r>
    </w:p>
    <w:p w14:paraId="2BB3AB4A">
      <w:pPr>
        <w:rPr>
          <w:sz w:val="28"/>
          <w:szCs w:val="28"/>
        </w:rPr>
      </w:pPr>
      <w:r>
        <w:rPr>
          <w:sz w:val="28"/>
          <w:szCs w:val="28"/>
        </w:rPr>
        <w:t xml:space="preserve">（二）操作流程 </w:t>
      </w:r>
    </w:p>
    <w:p w14:paraId="78B10819">
      <w:pPr>
        <w:rPr>
          <w:sz w:val="28"/>
          <w:szCs w:val="28"/>
        </w:rPr>
      </w:pPr>
      <w:r>
        <w:rPr>
          <w:sz w:val="28"/>
          <w:szCs w:val="28"/>
        </w:rPr>
        <w:t>1</w:t>
      </w:r>
      <w:r>
        <w:rPr>
          <w:rFonts w:hint="eastAsia"/>
          <w:sz w:val="28"/>
          <w:szCs w:val="28"/>
        </w:rPr>
        <w:t>、从甲库停放的叉车左侧后方上车调整座椅，系安全带。</w:t>
      </w:r>
    </w:p>
    <w:p w14:paraId="3A86FD0E">
      <w:pPr>
        <w:rPr>
          <w:sz w:val="28"/>
          <w:szCs w:val="28"/>
        </w:rPr>
      </w:pPr>
      <w:r>
        <w:rPr>
          <w:sz w:val="28"/>
          <w:szCs w:val="28"/>
        </w:rPr>
        <w:t>2</w:t>
      </w:r>
      <w:r>
        <w:rPr>
          <w:rFonts w:hint="eastAsia"/>
          <w:sz w:val="28"/>
          <w:szCs w:val="28"/>
        </w:rPr>
        <w:t>、打火、起货叉</w:t>
      </w:r>
      <w:r>
        <w:rPr>
          <w:sz w:val="28"/>
          <w:szCs w:val="28"/>
        </w:rPr>
        <w:t>(</w:t>
      </w:r>
      <w:r>
        <w:rPr>
          <w:rFonts w:hint="eastAsia"/>
          <w:sz w:val="28"/>
          <w:szCs w:val="28"/>
        </w:rPr>
        <w:t>货叉高度</w:t>
      </w:r>
      <w:r>
        <w:rPr>
          <w:sz w:val="28"/>
          <w:szCs w:val="28"/>
        </w:rPr>
        <w:t>20-30</w:t>
      </w:r>
      <w:r>
        <w:rPr>
          <w:rFonts w:hint="eastAsia"/>
          <w:sz w:val="28"/>
          <w:szCs w:val="28"/>
        </w:rPr>
        <w:t>厘米，货叉后仰</w:t>
      </w:r>
      <w:r>
        <w:rPr>
          <w:sz w:val="28"/>
          <w:szCs w:val="28"/>
        </w:rPr>
        <w:t>)</w:t>
      </w:r>
      <w:r>
        <w:rPr>
          <w:rFonts w:hint="eastAsia"/>
          <w:sz w:val="28"/>
          <w:szCs w:val="28"/>
        </w:rPr>
        <w:t>。</w:t>
      </w:r>
    </w:p>
    <w:p w14:paraId="75A14EDF">
      <w:pPr>
        <w:rPr>
          <w:sz w:val="28"/>
          <w:szCs w:val="28"/>
        </w:rPr>
      </w:pPr>
      <w:r>
        <w:rPr>
          <w:sz w:val="28"/>
          <w:szCs w:val="28"/>
        </w:rPr>
        <w:t>3</w:t>
      </w:r>
      <w:r>
        <w:rPr>
          <w:rFonts w:hint="eastAsia"/>
          <w:sz w:val="28"/>
          <w:szCs w:val="28"/>
        </w:rPr>
        <w:t>、打右转向灯，脚踩离合挂前进</w:t>
      </w:r>
      <w:r>
        <w:rPr>
          <w:rFonts w:hint="eastAsia"/>
          <w:sz w:val="28"/>
          <w:szCs w:val="28"/>
          <w:lang w:val="en-US" w:eastAsia="zh-CN"/>
        </w:rPr>
        <w:t>1</w:t>
      </w:r>
      <w:r>
        <w:rPr>
          <w:rFonts w:hint="eastAsia"/>
          <w:sz w:val="28"/>
          <w:szCs w:val="28"/>
        </w:rPr>
        <w:t>档而后松手刹，按喇叭走车出甲库。</w:t>
      </w:r>
    </w:p>
    <w:p w14:paraId="67A7A49E">
      <w:pPr>
        <w:rPr>
          <w:sz w:val="28"/>
          <w:szCs w:val="28"/>
        </w:rPr>
      </w:pPr>
      <w:r>
        <w:rPr>
          <w:sz w:val="28"/>
          <w:szCs w:val="28"/>
        </w:rPr>
        <w:t>4</w:t>
      </w:r>
      <w:r>
        <w:rPr>
          <w:rFonts w:hint="eastAsia"/>
          <w:sz w:val="28"/>
          <w:szCs w:val="28"/>
        </w:rPr>
        <w:t>、入</w:t>
      </w:r>
      <w:r>
        <w:rPr>
          <w:rFonts w:hint="eastAsia"/>
          <w:sz w:val="28"/>
          <w:szCs w:val="28"/>
          <w:lang w:eastAsia="zh-CN"/>
        </w:rPr>
        <w:t>丙</w:t>
      </w:r>
      <w:r>
        <w:rPr>
          <w:rFonts w:hint="eastAsia"/>
          <w:sz w:val="28"/>
          <w:szCs w:val="28"/>
        </w:rPr>
        <w:t>库时注意两侧杆与车左右的距离要适中，车身一定要甩正，货叉尖距货架前</w:t>
      </w:r>
      <w:r>
        <w:rPr>
          <w:sz w:val="28"/>
          <w:szCs w:val="28"/>
        </w:rPr>
        <w:t>30</w:t>
      </w:r>
      <w:r>
        <w:rPr>
          <w:rFonts w:hint="eastAsia"/>
          <w:sz w:val="28"/>
          <w:szCs w:val="28"/>
        </w:rPr>
        <w:t>厘米处停车，停车后挂空档</w:t>
      </w:r>
      <w:r>
        <w:rPr>
          <w:sz w:val="28"/>
          <w:szCs w:val="28"/>
        </w:rPr>
        <w:t>(</w:t>
      </w:r>
      <w:r>
        <w:rPr>
          <w:rFonts w:hint="eastAsia"/>
          <w:sz w:val="28"/>
          <w:szCs w:val="28"/>
        </w:rPr>
        <w:t>踩制动器</w:t>
      </w:r>
      <w:r>
        <w:rPr>
          <w:sz w:val="28"/>
          <w:szCs w:val="28"/>
        </w:rPr>
        <w:t>)</w:t>
      </w:r>
      <w:r>
        <w:rPr>
          <w:rFonts w:hint="eastAsia"/>
          <w:sz w:val="28"/>
          <w:szCs w:val="28"/>
        </w:rPr>
        <w:t>，关闭转向灯，然后将货叉表面调平后再升</w:t>
      </w:r>
      <w:r>
        <w:rPr>
          <w:rFonts w:hint="eastAsia"/>
          <w:sz w:val="28"/>
          <w:szCs w:val="28"/>
          <w:lang w:eastAsia="zh-CN"/>
        </w:rPr>
        <w:t>降</w:t>
      </w:r>
      <w:r>
        <w:rPr>
          <w:rFonts w:hint="eastAsia"/>
          <w:sz w:val="28"/>
          <w:szCs w:val="28"/>
        </w:rPr>
        <w:t>货叉，起升货叉时可以适当加油门。</w:t>
      </w:r>
    </w:p>
    <w:p w14:paraId="1E886B68">
      <w:pPr>
        <w:rPr>
          <w:sz w:val="28"/>
          <w:szCs w:val="28"/>
        </w:rPr>
      </w:pPr>
      <w:r>
        <w:rPr>
          <w:sz w:val="28"/>
          <w:szCs w:val="28"/>
        </w:rPr>
        <w:t>5</w:t>
      </w:r>
      <w:r>
        <w:rPr>
          <w:rFonts w:hint="eastAsia"/>
          <w:sz w:val="28"/>
          <w:szCs w:val="28"/>
        </w:rPr>
        <w:t>、挂前进档</w:t>
      </w:r>
      <w:r>
        <w:rPr>
          <w:rFonts w:hint="eastAsia"/>
          <w:sz w:val="28"/>
          <w:szCs w:val="28"/>
          <w:lang w:val="en-US" w:eastAsia="zh-CN"/>
        </w:rPr>
        <w:t>1档</w:t>
      </w:r>
      <w:r>
        <w:rPr>
          <w:rFonts w:hint="eastAsia"/>
          <w:sz w:val="28"/>
          <w:szCs w:val="28"/>
        </w:rPr>
        <w:t>，叉取货物。车速要慢、稳，目视货叉、货物、货架，随时调整货叉水平及高低位置，将货叉水平插入到货物底部，起货叉将货物稍离底侧货架并稍微后倾。</w:t>
      </w:r>
    </w:p>
    <w:p w14:paraId="5542C91A">
      <w:pPr>
        <w:rPr>
          <w:sz w:val="28"/>
          <w:szCs w:val="28"/>
        </w:rPr>
      </w:pPr>
      <w:r>
        <w:rPr>
          <w:sz w:val="28"/>
          <w:szCs w:val="28"/>
        </w:rPr>
        <w:t>6</w:t>
      </w:r>
      <w:r>
        <w:rPr>
          <w:rFonts w:hint="eastAsia"/>
          <w:sz w:val="28"/>
          <w:szCs w:val="28"/>
        </w:rPr>
        <w:t>、挂倒车档，倒车速度要慢</w:t>
      </w:r>
      <w:r>
        <w:rPr>
          <w:sz w:val="28"/>
          <w:szCs w:val="28"/>
        </w:rPr>
        <w:t>,</w:t>
      </w:r>
      <w:r>
        <w:rPr>
          <w:rFonts w:hint="eastAsia"/>
          <w:sz w:val="28"/>
          <w:szCs w:val="28"/>
        </w:rPr>
        <w:t>注视货物上下高度是否合适，左右是否刮蹭货架，</w:t>
      </w:r>
      <w:r>
        <w:rPr>
          <w:sz w:val="28"/>
          <w:szCs w:val="28"/>
        </w:rPr>
        <w:t>(</w:t>
      </w:r>
      <w:r>
        <w:rPr>
          <w:rFonts w:hint="eastAsia"/>
          <w:sz w:val="28"/>
          <w:szCs w:val="28"/>
        </w:rPr>
        <w:t>同时关注一下后方两侧的杆</w:t>
      </w:r>
      <w:r>
        <w:rPr>
          <w:sz w:val="28"/>
          <w:szCs w:val="28"/>
        </w:rPr>
        <w:t>)</w:t>
      </w:r>
      <w:r>
        <w:rPr>
          <w:rFonts w:hint="eastAsia"/>
          <w:sz w:val="28"/>
          <w:szCs w:val="28"/>
        </w:rPr>
        <w:t>，让车正直倒库，等货物出货架后挂空档，落货叉</w:t>
      </w:r>
      <w:r>
        <w:rPr>
          <w:sz w:val="28"/>
          <w:szCs w:val="28"/>
        </w:rPr>
        <w:t>20-30</w:t>
      </w:r>
      <w:r>
        <w:rPr>
          <w:rFonts w:hint="eastAsia"/>
          <w:sz w:val="28"/>
          <w:szCs w:val="28"/>
        </w:rPr>
        <w:t>厘米，货叉后仰正直倒车离开库位，待货物出库后再打</w:t>
      </w:r>
      <w:r>
        <w:rPr>
          <w:rFonts w:hint="eastAsia"/>
          <w:sz w:val="28"/>
          <w:szCs w:val="28"/>
          <w:lang w:eastAsia="zh-CN"/>
        </w:rPr>
        <w:t>左转向驶入丁库待车停止后关闭左转向</w:t>
      </w:r>
      <w:r>
        <w:rPr>
          <w:rFonts w:hint="eastAsia"/>
          <w:sz w:val="28"/>
          <w:szCs w:val="28"/>
        </w:rPr>
        <w:t>。</w:t>
      </w:r>
    </w:p>
    <w:p w14:paraId="54989F17">
      <w:pPr>
        <w:rPr>
          <w:rFonts w:hint="eastAsia"/>
          <w:sz w:val="28"/>
          <w:szCs w:val="28"/>
          <w:lang w:val="en-US" w:eastAsia="zh-CN"/>
        </w:rPr>
      </w:pPr>
      <w:r>
        <w:rPr>
          <w:sz w:val="28"/>
          <w:szCs w:val="28"/>
        </w:rPr>
        <w:t>7</w:t>
      </w:r>
      <w:r>
        <w:rPr>
          <w:rFonts w:hint="eastAsia"/>
          <w:sz w:val="28"/>
          <w:szCs w:val="28"/>
        </w:rPr>
        <w:t>、</w:t>
      </w:r>
      <w:r>
        <w:rPr>
          <w:rFonts w:hint="eastAsia"/>
          <w:sz w:val="28"/>
          <w:szCs w:val="28"/>
          <w:lang w:eastAsia="zh-CN"/>
        </w:rPr>
        <w:t>挂前进</w:t>
      </w:r>
      <w:r>
        <w:rPr>
          <w:rFonts w:hint="eastAsia"/>
          <w:sz w:val="28"/>
          <w:szCs w:val="28"/>
          <w:lang w:val="en-US" w:eastAsia="zh-CN"/>
        </w:rPr>
        <w:t>1档打左转向由</w:t>
      </w:r>
      <w:r>
        <w:rPr>
          <w:rFonts w:hint="eastAsia"/>
          <w:sz w:val="28"/>
          <w:szCs w:val="28"/>
          <w:lang w:eastAsia="zh-CN"/>
        </w:rPr>
        <w:t>丁库驶出并驶入乙库，目的是</w:t>
      </w:r>
      <w:r>
        <w:rPr>
          <w:rFonts w:hint="eastAsia"/>
          <w:sz w:val="28"/>
          <w:szCs w:val="28"/>
        </w:rPr>
        <w:t>将货物放入</w:t>
      </w:r>
      <w:r>
        <w:rPr>
          <w:rFonts w:hint="eastAsia"/>
          <w:sz w:val="28"/>
          <w:szCs w:val="28"/>
          <w:lang w:eastAsia="zh-CN"/>
        </w:rPr>
        <w:t>乙</w:t>
      </w:r>
      <w:r>
        <w:rPr>
          <w:rFonts w:hint="eastAsia"/>
          <w:sz w:val="28"/>
          <w:szCs w:val="28"/>
        </w:rPr>
        <w:t>库</w:t>
      </w:r>
      <w:r>
        <w:rPr>
          <w:rFonts w:hint="eastAsia"/>
          <w:sz w:val="28"/>
          <w:szCs w:val="28"/>
          <w:lang w:eastAsia="zh-CN"/>
        </w:rPr>
        <w:t>。</w:t>
      </w:r>
      <w:r>
        <w:rPr>
          <w:rFonts w:hint="eastAsia"/>
          <w:sz w:val="28"/>
          <w:szCs w:val="28"/>
        </w:rPr>
        <w:t>入库前车身要正，货物距货架前</w:t>
      </w:r>
      <w:r>
        <w:rPr>
          <w:sz w:val="28"/>
          <w:szCs w:val="28"/>
        </w:rPr>
        <w:t xml:space="preserve">30 </w:t>
      </w:r>
      <w:r>
        <w:rPr>
          <w:rFonts w:hint="eastAsia"/>
          <w:sz w:val="28"/>
          <w:szCs w:val="28"/>
        </w:rPr>
        <w:t>厘米处停车</w:t>
      </w:r>
      <w:r>
        <w:rPr>
          <w:rFonts w:hint="eastAsia"/>
          <w:sz w:val="28"/>
          <w:szCs w:val="28"/>
          <w:lang w:eastAsia="zh-CN"/>
        </w:rPr>
        <w:t>、关闭转向灯</w:t>
      </w:r>
      <w:r>
        <w:rPr>
          <w:rFonts w:hint="eastAsia"/>
          <w:sz w:val="28"/>
          <w:szCs w:val="28"/>
        </w:rPr>
        <w:t>、挂空档</w:t>
      </w:r>
      <w:r>
        <w:rPr>
          <w:sz w:val="28"/>
          <w:szCs w:val="28"/>
        </w:rPr>
        <w:t>(</w:t>
      </w:r>
      <w:r>
        <w:rPr>
          <w:rFonts w:hint="eastAsia"/>
          <w:sz w:val="28"/>
          <w:szCs w:val="28"/>
        </w:rPr>
        <w:t>踩制动器</w:t>
      </w:r>
      <w:r>
        <w:rPr>
          <w:sz w:val="28"/>
          <w:szCs w:val="28"/>
        </w:rPr>
        <w:t>)</w:t>
      </w:r>
      <w:r>
        <w:rPr>
          <w:rFonts w:hint="eastAsia"/>
          <w:sz w:val="28"/>
          <w:szCs w:val="28"/>
        </w:rPr>
        <w:t>，将货叉调平，然后再升</w:t>
      </w:r>
      <w:r>
        <w:rPr>
          <w:rFonts w:hint="eastAsia"/>
          <w:sz w:val="28"/>
          <w:szCs w:val="28"/>
          <w:lang w:eastAsia="zh-CN"/>
        </w:rPr>
        <w:t>降</w:t>
      </w:r>
      <w:r>
        <w:rPr>
          <w:rFonts w:hint="eastAsia"/>
          <w:sz w:val="28"/>
          <w:szCs w:val="28"/>
        </w:rPr>
        <w:t>货叉</w:t>
      </w:r>
      <w:r>
        <w:rPr>
          <w:rFonts w:hint="eastAsia"/>
          <w:sz w:val="28"/>
          <w:szCs w:val="28"/>
          <w:lang w:eastAsia="zh-CN"/>
        </w:rPr>
        <w:t>到适合高度</w:t>
      </w:r>
      <w:r>
        <w:rPr>
          <w:rFonts w:hint="eastAsia"/>
          <w:sz w:val="28"/>
          <w:szCs w:val="28"/>
        </w:rPr>
        <w:t>，适当加油门起升货叉。</w:t>
      </w:r>
      <w:r>
        <w:rPr>
          <w:rFonts w:hint="eastAsia"/>
          <w:sz w:val="28"/>
          <w:szCs w:val="28"/>
          <w:lang w:eastAsia="zh-CN"/>
        </w:rPr>
        <w:t>挂前进</w:t>
      </w:r>
      <w:r>
        <w:rPr>
          <w:rFonts w:hint="eastAsia"/>
          <w:sz w:val="28"/>
          <w:szCs w:val="28"/>
          <w:lang w:val="en-US" w:eastAsia="zh-CN"/>
        </w:rPr>
        <w:t>1档驶入货架，要求目测货物完全进入货架后</w:t>
      </w:r>
      <w:r>
        <w:rPr>
          <w:rFonts w:hint="eastAsia"/>
          <w:sz w:val="28"/>
          <w:szCs w:val="28"/>
        </w:rPr>
        <w:t>挂空档</w:t>
      </w:r>
      <w:r>
        <w:rPr>
          <w:sz w:val="28"/>
          <w:szCs w:val="28"/>
        </w:rPr>
        <w:t>(</w:t>
      </w:r>
      <w:r>
        <w:rPr>
          <w:rFonts w:hint="eastAsia"/>
          <w:sz w:val="28"/>
          <w:szCs w:val="28"/>
        </w:rPr>
        <w:t>踩制动器</w:t>
      </w:r>
      <w:r>
        <w:rPr>
          <w:sz w:val="28"/>
          <w:szCs w:val="28"/>
        </w:rPr>
        <w:t>)</w:t>
      </w:r>
      <w:r>
        <w:rPr>
          <w:rFonts w:hint="eastAsia"/>
          <w:sz w:val="28"/>
          <w:szCs w:val="28"/>
        </w:rPr>
        <w:t>，</w:t>
      </w:r>
      <w:r>
        <w:rPr>
          <w:rFonts w:hint="eastAsia"/>
          <w:sz w:val="28"/>
          <w:szCs w:val="28"/>
          <w:lang w:eastAsia="zh-CN"/>
        </w:rPr>
        <w:t>降</w:t>
      </w:r>
      <w:r>
        <w:rPr>
          <w:rFonts w:hint="eastAsia"/>
          <w:sz w:val="28"/>
          <w:szCs w:val="28"/>
        </w:rPr>
        <w:t>货叉</w:t>
      </w:r>
      <w:r>
        <w:rPr>
          <w:rFonts w:hint="eastAsia"/>
          <w:sz w:val="28"/>
          <w:szCs w:val="28"/>
          <w:lang w:eastAsia="zh-CN"/>
        </w:rPr>
        <w:t>将货物稳稳放入货架。待货叉离开货物一段间隙后挂倒车</w:t>
      </w:r>
      <w:r>
        <w:rPr>
          <w:rFonts w:hint="eastAsia"/>
          <w:sz w:val="28"/>
          <w:szCs w:val="28"/>
          <w:lang w:val="en-US" w:eastAsia="zh-CN"/>
        </w:rPr>
        <w:t>1档缓缓驶出货架。注意货叉不能碰触货箱或货架，待货叉离开货架</w:t>
      </w:r>
      <w:r>
        <w:rPr>
          <w:rFonts w:hint="eastAsia"/>
          <w:sz w:val="28"/>
          <w:szCs w:val="28"/>
        </w:rPr>
        <w:t>前</w:t>
      </w:r>
      <w:r>
        <w:rPr>
          <w:sz w:val="28"/>
          <w:szCs w:val="28"/>
        </w:rPr>
        <w:t xml:space="preserve">30 </w:t>
      </w:r>
      <w:r>
        <w:rPr>
          <w:rFonts w:hint="eastAsia"/>
          <w:sz w:val="28"/>
          <w:szCs w:val="28"/>
        </w:rPr>
        <w:t>厘米处停车</w:t>
      </w:r>
      <w:r>
        <w:rPr>
          <w:rFonts w:hint="eastAsia"/>
          <w:sz w:val="28"/>
          <w:szCs w:val="28"/>
          <w:lang w:eastAsia="zh-CN"/>
        </w:rPr>
        <w:t>后</w:t>
      </w:r>
      <w:r>
        <w:rPr>
          <w:rFonts w:hint="eastAsia"/>
          <w:sz w:val="28"/>
          <w:szCs w:val="28"/>
        </w:rPr>
        <w:t>挂空档</w:t>
      </w:r>
      <w:r>
        <w:rPr>
          <w:sz w:val="28"/>
          <w:szCs w:val="28"/>
        </w:rPr>
        <w:t>(</w:t>
      </w:r>
      <w:r>
        <w:rPr>
          <w:rFonts w:hint="eastAsia"/>
          <w:sz w:val="28"/>
          <w:szCs w:val="28"/>
        </w:rPr>
        <w:t>踩制动器</w:t>
      </w:r>
      <w:r>
        <w:rPr>
          <w:sz w:val="28"/>
          <w:szCs w:val="28"/>
        </w:rPr>
        <w:t>)</w:t>
      </w:r>
      <w:r>
        <w:rPr>
          <w:rFonts w:hint="eastAsia"/>
          <w:sz w:val="28"/>
          <w:szCs w:val="28"/>
        </w:rPr>
        <w:t>，</w:t>
      </w:r>
      <w:r>
        <w:rPr>
          <w:rFonts w:hint="eastAsia"/>
          <w:sz w:val="28"/>
          <w:szCs w:val="28"/>
          <w:lang w:eastAsia="zh-CN"/>
        </w:rPr>
        <w:t>升降货叉离地</w:t>
      </w:r>
      <w:r>
        <w:rPr>
          <w:sz w:val="28"/>
          <w:szCs w:val="28"/>
        </w:rPr>
        <w:t>20-30</w:t>
      </w:r>
      <w:r>
        <w:rPr>
          <w:rFonts w:hint="eastAsia"/>
          <w:sz w:val="28"/>
          <w:szCs w:val="28"/>
        </w:rPr>
        <w:t>厘米</w:t>
      </w:r>
      <w:r>
        <w:rPr>
          <w:rFonts w:hint="eastAsia"/>
          <w:sz w:val="28"/>
          <w:szCs w:val="28"/>
          <w:lang w:eastAsia="zh-CN"/>
        </w:rPr>
        <w:t>后后仰货叉，挂倒车</w:t>
      </w:r>
      <w:r>
        <w:rPr>
          <w:rFonts w:hint="eastAsia"/>
          <w:sz w:val="28"/>
          <w:szCs w:val="28"/>
          <w:lang w:val="en-US" w:eastAsia="zh-CN"/>
        </w:rPr>
        <w:t>1档打右转向驶入甲库。待车身全部驶入甲库停车挂空挡，关闭右转向。</w:t>
      </w:r>
    </w:p>
    <w:p w14:paraId="19F8C4B2">
      <w:pPr>
        <w:rPr>
          <w:rFonts w:hint="eastAsia"/>
          <w:sz w:val="28"/>
          <w:szCs w:val="28"/>
          <w:lang w:val="en-US" w:eastAsia="zh-CN"/>
        </w:rPr>
      </w:pPr>
      <w:r>
        <w:rPr>
          <w:sz w:val="28"/>
          <w:szCs w:val="28"/>
        </w:rPr>
        <w:t>8</w:t>
      </w:r>
      <w:r>
        <w:rPr>
          <w:rFonts w:hint="eastAsia"/>
          <w:sz w:val="28"/>
          <w:szCs w:val="28"/>
        </w:rPr>
        <w:t>、</w:t>
      </w:r>
      <w:r>
        <w:rPr>
          <w:rFonts w:hint="eastAsia"/>
          <w:sz w:val="28"/>
          <w:szCs w:val="28"/>
          <w:lang w:eastAsia="zh-CN"/>
        </w:rPr>
        <w:t>再次重复</w:t>
      </w:r>
      <w:r>
        <w:rPr>
          <w:rFonts w:hint="eastAsia"/>
          <w:sz w:val="28"/>
          <w:szCs w:val="28"/>
          <w:lang w:val="en-US" w:eastAsia="zh-CN"/>
        </w:rPr>
        <w:t>3-7步骤把丙库货物再次移到移库完成比赛。</w:t>
      </w:r>
    </w:p>
    <w:p w14:paraId="480F25A6">
      <w:pPr>
        <w:rPr>
          <w:sz w:val="28"/>
          <w:szCs w:val="28"/>
        </w:rPr>
      </w:pPr>
      <w:r>
        <w:rPr>
          <w:sz w:val="28"/>
          <w:szCs w:val="28"/>
        </w:rPr>
        <w:t>9</w:t>
      </w:r>
      <w:r>
        <w:rPr>
          <w:rFonts w:hint="eastAsia"/>
          <w:sz w:val="28"/>
          <w:szCs w:val="28"/>
        </w:rPr>
        <w:t>、</w:t>
      </w:r>
      <w:r>
        <w:rPr>
          <w:sz w:val="28"/>
          <w:szCs w:val="28"/>
        </w:rPr>
        <w:t xml:space="preserve"> </w:t>
      </w:r>
      <w:r>
        <w:rPr>
          <w:rFonts w:hint="eastAsia"/>
          <w:sz w:val="28"/>
          <w:szCs w:val="28"/>
          <w:lang w:eastAsia="zh-CN"/>
        </w:rPr>
        <w:t>比赛行车路线为</w:t>
      </w:r>
      <w:r>
        <w:rPr>
          <w:sz w:val="28"/>
          <w:szCs w:val="28"/>
        </w:rPr>
        <w:t>:</w:t>
      </w:r>
    </w:p>
    <w:p w14:paraId="2E18ECB9">
      <w:pPr>
        <w:rPr>
          <w:sz w:val="28"/>
          <w:szCs w:val="28"/>
        </w:rPr>
      </w:pPr>
      <w:r>
        <w:rPr>
          <w:rFonts w:hint="eastAsia"/>
          <w:sz w:val="28"/>
          <w:szCs w:val="28"/>
        </w:rPr>
        <w:t>甲→</w:t>
      </w:r>
      <w:r>
        <w:rPr>
          <w:rFonts w:hint="eastAsia"/>
          <w:sz w:val="28"/>
          <w:szCs w:val="28"/>
          <w:lang w:eastAsia="zh-CN"/>
        </w:rPr>
        <w:t>丙</w:t>
      </w:r>
      <w:r>
        <w:rPr>
          <w:rFonts w:hint="eastAsia"/>
          <w:sz w:val="28"/>
          <w:szCs w:val="28"/>
        </w:rPr>
        <w:t>→丁→</w:t>
      </w:r>
      <w:r>
        <w:rPr>
          <w:rFonts w:hint="eastAsia"/>
          <w:sz w:val="28"/>
          <w:szCs w:val="28"/>
          <w:lang w:eastAsia="zh-CN"/>
        </w:rPr>
        <w:t>乙</w:t>
      </w:r>
      <w:r>
        <w:rPr>
          <w:rFonts w:hint="eastAsia"/>
          <w:sz w:val="28"/>
          <w:szCs w:val="28"/>
        </w:rPr>
        <w:t>→甲→</w:t>
      </w:r>
      <w:r>
        <w:rPr>
          <w:rFonts w:hint="eastAsia"/>
          <w:sz w:val="28"/>
          <w:szCs w:val="28"/>
          <w:lang w:eastAsia="zh-CN"/>
        </w:rPr>
        <w:t>丙</w:t>
      </w:r>
      <w:r>
        <w:rPr>
          <w:rFonts w:hint="eastAsia"/>
          <w:sz w:val="28"/>
          <w:szCs w:val="28"/>
        </w:rPr>
        <w:t>→</w:t>
      </w:r>
      <w:r>
        <w:rPr>
          <w:rFonts w:hint="eastAsia"/>
          <w:sz w:val="28"/>
          <w:szCs w:val="28"/>
          <w:lang w:eastAsia="zh-CN"/>
        </w:rPr>
        <w:t>丁</w:t>
      </w:r>
      <w:r>
        <w:rPr>
          <w:rFonts w:hint="eastAsia"/>
          <w:sz w:val="28"/>
          <w:szCs w:val="28"/>
        </w:rPr>
        <w:t>→</w:t>
      </w:r>
      <w:r>
        <w:rPr>
          <w:rFonts w:hint="eastAsia"/>
          <w:sz w:val="28"/>
          <w:szCs w:val="28"/>
          <w:lang w:eastAsia="zh-CN"/>
        </w:rPr>
        <w:t>乙</w:t>
      </w:r>
      <w:r>
        <w:rPr>
          <w:rFonts w:hint="eastAsia"/>
          <w:sz w:val="28"/>
          <w:szCs w:val="28"/>
        </w:rPr>
        <w:t>→甲结束。</w:t>
      </w:r>
    </w:p>
    <w:p w14:paraId="6C1CAC55">
      <w:pPr>
        <w:rPr>
          <w:sz w:val="28"/>
          <w:szCs w:val="28"/>
        </w:rPr>
      </w:pPr>
      <w:r>
        <w:rPr>
          <w:sz w:val="28"/>
          <w:szCs w:val="28"/>
        </w:rPr>
        <w:t>10</w:t>
      </w:r>
      <w:r>
        <w:rPr>
          <w:rFonts w:hint="eastAsia"/>
          <w:sz w:val="28"/>
          <w:szCs w:val="28"/>
        </w:rPr>
        <w:t>、最终两个货物的堆垛样式是丙库在上</w:t>
      </w:r>
      <w:r>
        <w:rPr>
          <w:rFonts w:hint="eastAsia"/>
          <w:sz w:val="28"/>
          <w:szCs w:val="28"/>
          <w:lang w:eastAsia="zh-CN"/>
        </w:rPr>
        <w:t>货物移到</w:t>
      </w:r>
      <w:r>
        <w:rPr>
          <w:rFonts w:hint="eastAsia"/>
          <w:sz w:val="28"/>
          <w:szCs w:val="28"/>
        </w:rPr>
        <w:t>乙库下，丙库在</w:t>
      </w:r>
      <w:r>
        <w:rPr>
          <w:rFonts w:hint="eastAsia"/>
          <w:sz w:val="28"/>
          <w:szCs w:val="28"/>
          <w:lang w:eastAsia="zh-CN"/>
        </w:rPr>
        <w:t>下货物</w:t>
      </w:r>
      <w:r>
        <w:rPr>
          <w:rFonts w:hint="eastAsia"/>
          <w:sz w:val="28"/>
          <w:szCs w:val="28"/>
        </w:rPr>
        <w:t>，</w:t>
      </w:r>
      <w:r>
        <w:rPr>
          <w:rFonts w:hint="eastAsia"/>
          <w:sz w:val="28"/>
          <w:szCs w:val="28"/>
          <w:lang w:eastAsia="zh-CN"/>
        </w:rPr>
        <w:t>移到</w:t>
      </w:r>
      <w:r>
        <w:rPr>
          <w:rFonts w:hint="eastAsia"/>
          <w:sz w:val="28"/>
          <w:szCs w:val="28"/>
        </w:rPr>
        <w:t>乙库</w:t>
      </w:r>
      <w:r>
        <w:rPr>
          <w:rFonts w:hint="eastAsia"/>
          <w:sz w:val="28"/>
          <w:szCs w:val="28"/>
          <w:lang w:eastAsia="zh-CN"/>
        </w:rPr>
        <w:t>上</w:t>
      </w:r>
      <w:r>
        <w:rPr>
          <w:rFonts w:hint="eastAsia"/>
          <w:sz w:val="28"/>
          <w:szCs w:val="28"/>
        </w:rPr>
        <w:t>。</w:t>
      </w:r>
    </w:p>
    <w:p w14:paraId="1F1B2DAF">
      <w:pPr>
        <w:rPr>
          <w:sz w:val="28"/>
          <w:szCs w:val="28"/>
        </w:rPr>
      </w:pPr>
      <w:r>
        <w:rPr>
          <w:sz w:val="28"/>
          <w:szCs w:val="28"/>
        </w:rPr>
        <w:t>（三）场地示意图</w:t>
      </w:r>
    </w:p>
    <w:p w14:paraId="49C1F5E5">
      <w:pPr>
        <w:rPr>
          <w:rFonts w:hint="eastAsia"/>
          <w:sz w:val="28"/>
          <w:szCs w:val="28"/>
        </w:rPr>
      </w:pPr>
      <w:r>
        <w:rPr>
          <w:rFonts w:hint="eastAsia"/>
          <w:sz w:val="28"/>
          <w:szCs w:val="28"/>
        </w:rPr>
        <w:drawing>
          <wp:anchor distT="0" distB="0" distL="114300" distR="114300" simplePos="0" relativeHeight="251659264" behindDoc="0" locked="0" layoutInCell="1" allowOverlap="1">
            <wp:simplePos x="0" y="0"/>
            <wp:positionH relativeFrom="column">
              <wp:posOffset>13335</wp:posOffset>
            </wp:positionH>
            <wp:positionV relativeFrom="paragraph">
              <wp:posOffset>80645</wp:posOffset>
            </wp:positionV>
            <wp:extent cx="6126480" cy="2192020"/>
            <wp:effectExtent l="0" t="0" r="762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extLst>
                        <a:ext uri="{28A0092B-C50C-407E-A947-70E740481C1C}">
                          <a14:useLocalDpi xmlns:a14="http://schemas.microsoft.com/office/drawing/2010/main" val="0"/>
                        </a:ext>
                      </a:extLst>
                    </a:blip>
                    <a:srcRect l="24745" t="8054" b="37816"/>
                    <a:stretch>
                      <a:fillRect/>
                    </a:stretch>
                  </pic:blipFill>
                  <pic:spPr>
                    <a:xfrm>
                      <a:off x="0" y="0"/>
                      <a:ext cx="6126480" cy="2192020"/>
                    </a:xfrm>
                    <a:prstGeom prst="rect">
                      <a:avLst/>
                    </a:prstGeom>
                    <a:noFill/>
                    <a:ln>
                      <a:noFill/>
                    </a:ln>
                    <a:effectLst/>
                  </pic:spPr>
                </pic:pic>
              </a:graphicData>
            </a:graphic>
          </wp:anchor>
        </w:drawing>
      </w:r>
    </w:p>
    <w:p w14:paraId="23FB5896">
      <w:pPr>
        <w:rPr>
          <w:rFonts w:hint="eastAsia"/>
          <w:sz w:val="28"/>
          <w:szCs w:val="28"/>
        </w:rPr>
      </w:pPr>
    </w:p>
    <w:p w14:paraId="51937ED4">
      <w:pPr>
        <w:rPr>
          <w:rFonts w:hint="eastAsia"/>
          <w:sz w:val="28"/>
          <w:szCs w:val="28"/>
        </w:rPr>
      </w:pPr>
    </w:p>
    <w:p w14:paraId="29E9AD19">
      <w:pPr>
        <w:rPr>
          <w:rFonts w:hint="eastAsia"/>
          <w:sz w:val="28"/>
          <w:szCs w:val="28"/>
        </w:rPr>
      </w:pPr>
    </w:p>
    <w:p w14:paraId="32237502">
      <w:pPr>
        <w:rPr>
          <w:rFonts w:hint="eastAsia"/>
          <w:sz w:val="28"/>
          <w:szCs w:val="28"/>
        </w:rPr>
      </w:pPr>
    </w:p>
    <w:p w14:paraId="2FE16CDB">
      <w:pPr>
        <w:rPr>
          <w:sz w:val="28"/>
          <w:szCs w:val="28"/>
        </w:rPr>
      </w:pPr>
    </w:p>
    <w:p w14:paraId="286D5781">
      <w:pPr>
        <w:rPr>
          <w:sz w:val="28"/>
          <w:szCs w:val="28"/>
        </w:rPr>
      </w:pPr>
      <w:r>
        <w:rPr>
          <w:sz w:val="28"/>
          <w:szCs w:val="28"/>
        </w:rPr>
        <w:t xml:space="preserve">（四）设备与设施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4820"/>
        <w:gridCol w:w="1893"/>
      </w:tblGrid>
      <w:tr w14:paraId="579B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3AEB1B3B">
            <w:pPr>
              <w:rPr>
                <w:sz w:val="28"/>
                <w:szCs w:val="28"/>
              </w:rPr>
            </w:pPr>
            <w:r>
              <w:rPr>
                <w:sz w:val="28"/>
                <w:szCs w:val="28"/>
              </w:rPr>
              <w:t>名称</w:t>
            </w:r>
          </w:p>
        </w:tc>
        <w:tc>
          <w:tcPr>
            <w:tcW w:w="4820" w:type="dxa"/>
          </w:tcPr>
          <w:p w14:paraId="2B9E98FA">
            <w:pPr>
              <w:rPr>
                <w:sz w:val="28"/>
                <w:szCs w:val="28"/>
              </w:rPr>
            </w:pPr>
            <w:r>
              <w:rPr>
                <w:sz w:val="28"/>
                <w:szCs w:val="28"/>
              </w:rPr>
              <w:t>规格要求</w:t>
            </w:r>
          </w:p>
        </w:tc>
        <w:tc>
          <w:tcPr>
            <w:tcW w:w="1893" w:type="dxa"/>
          </w:tcPr>
          <w:p w14:paraId="0F5204D6">
            <w:pPr>
              <w:rPr>
                <w:sz w:val="28"/>
                <w:szCs w:val="28"/>
              </w:rPr>
            </w:pPr>
            <w:r>
              <w:rPr>
                <w:sz w:val="28"/>
                <w:szCs w:val="28"/>
              </w:rPr>
              <w:t>数量</w:t>
            </w:r>
          </w:p>
        </w:tc>
      </w:tr>
      <w:tr w14:paraId="01E9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2B23BF02">
            <w:pPr>
              <w:rPr>
                <w:sz w:val="28"/>
                <w:szCs w:val="28"/>
              </w:rPr>
            </w:pPr>
            <w:r>
              <w:rPr>
                <w:sz w:val="28"/>
                <w:szCs w:val="28"/>
              </w:rPr>
              <w:t>叉车</w:t>
            </w:r>
          </w:p>
        </w:tc>
        <w:tc>
          <w:tcPr>
            <w:tcW w:w="4820" w:type="dxa"/>
          </w:tcPr>
          <w:p w14:paraId="7FA95B81">
            <w:pPr>
              <w:rPr>
                <w:sz w:val="28"/>
                <w:szCs w:val="28"/>
              </w:rPr>
            </w:pPr>
            <w:r>
              <w:rPr>
                <w:rFonts w:hint="eastAsia"/>
                <w:sz w:val="28"/>
                <w:szCs w:val="28"/>
              </w:rPr>
              <w:t>蓄电池平衡重式</w:t>
            </w:r>
          </w:p>
          <w:p w14:paraId="247F4BA7">
            <w:pPr>
              <w:rPr>
                <w:sz w:val="28"/>
                <w:szCs w:val="28"/>
              </w:rPr>
            </w:pPr>
            <w:r>
              <w:rPr>
                <w:rFonts w:hint="eastAsia"/>
                <w:sz w:val="28"/>
                <w:szCs w:val="28"/>
              </w:rPr>
              <w:t>燃油平衡重式</w:t>
            </w:r>
          </w:p>
        </w:tc>
        <w:tc>
          <w:tcPr>
            <w:tcW w:w="1893" w:type="dxa"/>
          </w:tcPr>
          <w:p w14:paraId="38F9A278">
            <w:pPr>
              <w:rPr>
                <w:sz w:val="28"/>
                <w:szCs w:val="28"/>
              </w:rPr>
            </w:pPr>
            <w:r>
              <w:rPr>
                <w:rFonts w:hint="eastAsia"/>
                <w:sz w:val="28"/>
                <w:szCs w:val="28"/>
              </w:rPr>
              <w:t>1</w:t>
            </w:r>
          </w:p>
          <w:p w14:paraId="3F6CAC2B">
            <w:pPr>
              <w:rPr>
                <w:sz w:val="28"/>
                <w:szCs w:val="28"/>
              </w:rPr>
            </w:pPr>
            <w:r>
              <w:rPr>
                <w:rFonts w:hint="eastAsia"/>
                <w:sz w:val="28"/>
                <w:szCs w:val="28"/>
              </w:rPr>
              <w:t>1</w:t>
            </w:r>
          </w:p>
        </w:tc>
      </w:tr>
      <w:tr w14:paraId="15F0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5F304DCB">
            <w:pPr>
              <w:rPr>
                <w:sz w:val="28"/>
                <w:szCs w:val="28"/>
              </w:rPr>
            </w:pPr>
            <w:r>
              <w:rPr>
                <w:sz w:val="28"/>
                <w:szCs w:val="28"/>
              </w:rPr>
              <w:t>货物</w:t>
            </w:r>
          </w:p>
        </w:tc>
        <w:tc>
          <w:tcPr>
            <w:tcW w:w="4820" w:type="dxa"/>
          </w:tcPr>
          <w:p w14:paraId="4B797048">
            <w:pPr>
              <w:rPr>
                <w:sz w:val="28"/>
                <w:szCs w:val="28"/>
              </w:rPr>
            </w:pPr>
            <w:r>
              <w:rPr>
                <w:sz w:val="28"/>
                <w:szCs w:val="28"/>
              </w:rPr>
              <w:t>标准</w:t>
            </w:r>
            <w:bookmarkStart w:id="0" w:name="OLE_LINK5"/>
            <w:bookmarkStart w:id="1" w:name="OLE_LINK4"/>
            <w:r>
              <w:rPr>
                <w:rFonts w:hint="eastAsia"/>
                <w:sz w:val="28"/>
                <w:szCs w:val="28"/>
              </w:rPr>
              <w:t>8</w:t>
            </w:r>
            <w:r>
              <w:rPr>
                <w:sz w:val="28"/>
                <w:szCs w:val="28"/>
              </w:rPr>
              <w:t>00mm</w:t>
            </w:r>
            <w:bookmarkStart w:id="2" w:name="OLE_LINK3"/>
            <w:r>
              <w:rPr>
                <w:sz w:val="28"/>
                <w:szCs w:val="28"/>
              </w:rPr>
              <w:t>*</w:t>
            </w:r>
            <w:r>
              <w:rPr>
                <w:rFonts w:hint="eastAsia"/>
                <w:sz w:val="28"/>
                <w:szCs w:val="28"/>
              </w:rPr>
              <w:t>8</w:t>
            </w:r>
            <w:r>
              <w:rPr>
                <w:sz w:val="28"/>
                <w:szCs w:val="28"/>
              </w:rPr>
              <w:t>00mm</w:t>
            </w:r>
            <w:bookmarkEnd w:id="2"/>
            <w:r>
              <w:rPr>
                <w:sz w:val="28"/>
                <w:szCs w:val="28"/>
              </w:rPr>
              <w:t>*</w:t>
            </w:r>
            <w:r>
              <w:rPr>
                <w:rFonts w:hint="eastAsia"/>
                <w:sz w:val="28"/>
                <w:szCs w:val="28"/>
              </w:rPr>
              <w:t>8</w:t>
            </w:r>
            <w:r>
              <w:rPr>
                <w:sz w:val="28"/>
                <w:szCs w:val="28"/>
              </w:rPr>
              <w:t>00mm</w:t>
            </w:r>
            <w:bookmarkEnd w:id="0"/>
            <w:bookmarkEnd w:id="1"/>
            <w:r>
              <w:rPr>
                <w:rFonts w:hint="eastAsia"/>
                <w:sz w:val="28"/>
                <w:szCs w:val="28"/>
              </w:rPr>
              <w:t>立方体</w:t>
            </w:r>
            <w:r>
              <w:rPr>
                <w:sz w:val="28"/>
                <w:szCs w:val="28"/>
              </w:rPr>
              <w:t>形</w:t>
            </w:r>
          </w:p>
        </w:tc>
        <w:tc>
          <w:tcPr>
            <w:tcW w:w="1893" w:type="dxa"/>
          </w:tcPr>
          <w:p w14:paraId="0565D592">
            <w:pPr>
              <w:rPr>
                <w:sz w:val="28"/>
                <w:szCs w:val="28"/>
              </w:rPr>
            </w:pPr>
            <w:r>
              <w:rPr>
                <w:rFonts w:hint="eastAsia"/>
                <w:sz w:val="28"/>
                <w:szCs w:val="28"/>
              </w:rPr>
              <w:t>2个</w:t>
            </w:r>
          </w:p>
        </w:tc>
      </w:tr>
      <w:tr w14:paraId="45CC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1188C866">
            <w:pPr>
              <w:rPr>
                <w:sz w:val="28"/>
                <w:szCs w:val="28"/>
              </w:rPr>
            </w:pPr>
            <w:r>
              <w:rPr>
                <w:sz w:val="28"/>
                <w:szCs w:val="28"/>
              </w:rPr>
              <w:t>货柜</w:t>
            </w:r>
          </w:p>
        </w:tc>
        <w:tc>
          <w:tcPr>
            <w:tcW w:w="4820" w:type="dxa"/>
          </w:tcPr>
          <w:p w14:paraId="0A25219E">
            <w:pPr>
              <w:rPr>
                <w:sz w:val="28"/>
                <w:szCs w:val="28"/>
              </w:rPr>
            </w:pPr>
            <w:r>
              <w:rPr>
                <w:rFonts w:hint="eastAsia"/>
                <w:sz w:val="28"/>
                <w:szCs w:val="28"/>
              </w:rPr>
              <w:t>15</w:t>
            </w:r>
            <w:r>
              <w:rPr>
                <w:sz w:val="28"/>
                <w:szCs w:val="28"/>
              </w:rPr>
              <w:t>00mm*</w:t>
            </w:r>
            <w:r>
              <w:rPr>
                <w:rFonts w:hint="eastAsia"/>
                <w:sz w:val="28"/>
                <w:szCs w:val="28"/>
              </w:rPr>
              <w:t>11</w:t>
            </w:r>
            <w:r>
              <w:rPr>
                <w:sz w:val="28"/>
                <w:szCs w:val="28"/>
              </w:rPr>
              <w:t>00mm*</w:t>
            </w:r>
            <w:r>
              <w:rPr>
                <w:rFonts w:hint="eastAsia"/>
                <w:sz w:val="28"/>
                <w:szCs w:val="28"/>
              </w:rPr>
              <w:t>22</w:t>
            </w:r>
            <w:r>
              <w:rPr>
                <w:sz w:val="28"/>
                <w:szCs w:val="28"/>
              </w:rPr>
              <w:t>00mm高度为两层，每层高</w:t>
            </w:r>
            <w:r>
              <w:rPr>
                <w:rFonts w:hint="eastAsia"/>
                <w:sz w:val="28"/>
                <w:szCs w:val="28"/>
              </w:rPr>
              <w:t>1100mm</w:t>
            </w:r>
          </w:p>
        </w:tc>
        <w:tc>
          <w:tcPr>
            <w:tcW w:w="1893" w:type="dxa"/>
          </w:tcPr>
          <w:p w14:paraId="4DDE989F">
            <w:pPr>
              <w:rPr>
                <w:sz w:val="28"/>
                <w:szCs w:val="28"/>
              </w:rPr>
            </w:pPr>
            <w:r>
              <w:rPr>
                <w:rFonts w:hint="eastAsia"/>
                <w:sz w:val="28"/>
                <w:szCs w:val="28"/>
              </w:rPr>
              <w:t>2个</w:t>
            </w:r>
          </w:p>
        </w:tc>
      </w:tr>
    </w:tbl>
    <w:p w14:paraId="15EF2FAE">
      <w:pPr>
        <w:rPr>
          <w:sz w:val="28"/>
          <w:szCs w:val="28"/>
        </w:rPr>
      </w:pPr>
      <w:r>
        <w:rPr>
          <w:sz w:val="28"/>
          <w:szCs w:val="28"/>
        </w:rPr>
        <w:t xml:space="preserve">四、竞赛时长及评分标准 </w:t>
      </w:r>
    </w:p>
    <w:p w14:paraId="1171A74C">
      <w:pPr>
        <w:rPr>
          <w:sz w:val="28"/>
          <w:szCs w:val="28"/>
        </w:rPr>
      </w:pPr>
      <w:r>
        <w:rPr>
          <w:sz w:val="28"/>
          <w:szCs w:val="28"/>
        </w:rPr>
        <w:t>（一）竞赛时长及分值占比</w:t>
      </w:r>
    </w:p>
    <w:p w14:paraId="150D5B24">
      <w:pPr>
        <w:rPr>
          <w:sz w:val="28"/>
          <w:szCs w:val="28"/>
        </w:rPr>
      </w:pPr>
      <w:r>
        <w:rPr>
          <w:sz w:val="28"/>
          <w:szCs w:val="28"/>
        </w:rPr>
        <w:t>叉车技能为单人赛</w:t>
      </w:r>
      <w:r>
        <w:rPr>
          <w:rFonts w:hint="eastAsia"/>
          <w:sz w:val="28"/>
          <w:szCs w:val="28"/>
        </w:rPr>
        <w:t>，</w:t>
      </w:r>
      <w:r>
        <w:rPr>
          <w:sz w:val="28"/>
          <w:szCs w:val="28"/>
        </w:rPr>
        <w:t>实操阶段按要求完成规定的任务，每人</w:t>
      </w:r>
      <w:r>
        <w:rPr>
          <w:rFonts w:hint="eastAsia"/>
          <w:sz w:val="28"/>
          <w:szCs w:val="28"/>
        </w:rPr>
        <w:t>9</w:t>
      </w:r>
      <w:r>
        <w:rPr>
          <w:sz w:val="28"/>
          <w:szCs w:val="28"/>
        </w:rPr>
        <w:t>分钟。</w:t>
      </w:r>
    </w:p>
    <w:p w14:paraId="053C270C">
      <w:pPr>
        <w:rPr>
          <w:sz w:val="28"/>
          <w:szCs w:val="28"/>
        </w:rPr>
      </w:pPr>
      <w:r>
        <w:rPr>
          <w:sz w:val="28"/>
          <w:szCs w:val="28"/>
        </w:rPr>
        <w:t>（二）评分标准</w:t>
      </w:r>
    </w:p>
    <w:p w14:paraId="5C113836">
      <w:pPr>
        <w:rPr>
          <w:sz w:val="28"/>
          <w:szCs w:val="28"/>
        </w:rPr>
      </w:pPr>
      <w:r>
        <w:rPr>
          <w:sz w:val="28"/>
          <w:szCs w:val="28"/>
        </w:rPr>
        <w:t>叉车技能 1.成绩构成及计算方法 参赛选手叉车操作技能单项赛成绩</w:t>
      </w:r>
      <w:r>
        <w:rPr>
          <w:rFonts w:hint="eastAsia"/>
          <w:sz w:val="28"/>
          <w:szCs w:val="28"/>
        </w:rPr>
        <w:t>以</w:t>
      </w:r>
      <w:r>
        <w:rPr>
          <w:sz w:val="28"/>
          <w:szCs w:val="28"/>
        </w:rPr>
        <w:t xml:space="preserve">实操成绩根据参赛选手操作的质量和速度进行评分，质量越好，速度越快 的选手，成绩越高。 </w:t>
      </w:r>
    </w:p>
    <w:p w14:paraId="342574FF">
      <w:pPr>
        <w:rPr>
          <w:sz w:val="28"/>
          <w:szCs w:val="28"/>
        </w:rPr>
      </w:pPr>
      <w:r>
        <w:rPr>
          <w:sz w:val="28"/>
          <w:szCs w:val="28"/>
        </w:rPr>
        <w:t xml:space="preserve">参赛选手叉车实操成绩=操作质量成绩 + 操作速度成绩 </w:t>
      </w:r>
    </w:p>
    <w:p w14:paraId="41CBF07A">
      <w:pPr>
        <w:rPr>
          <w:sz w:val="28"/>
          <w:szCs w:val="28"/>
        </w:rPr>
      </w:pPr>
      <w:r>
        <w:rPr>
          <w:sz w:val="28"/>
          <w:szCs w:val="28"/>
        </w:rPr>
        <w:t>（1）操作速度成绩计分方法 操作速度以秒为基本计分点，提前1秒加0.21分。计算公式为： 操作速度成绩=（</w:t>
      </w:r>
      <w:r>
        <w:rPr>
          <w:rFonts w:hint="eastAsia"/>
          <w:sz w:val="28"/>
          <w:szCs w:val="28"/>
          <w:lang w:val="en-US" w:eastAsia="zh-CN"/>
        </w:rPr>
        <w:t>420</w:t>
      </w:r>
      <w:r>
        <w:rPr>
          <w:sz w:val="28"/>
          <w:szCs w:val="28"/>
        </w:rPr>
        <w:t xml:space="preserve">秒—选手实际操作时间折合秒数） * 0.21 </w:t>
      </w:r>
    </w:p>
    <w:p w14:paraId="4192C903">
      <w:pPr>
        <w:rPr>
          <w:sz w:val="28"/>
          <w:szCs w:val="28"/>
        </w:rPr>
      </w:pPr>
      <w:r>
        <w:rPr>
          <w:sz w:val="28"/>
          <w:szCs w:val="28"/>
        </w:rPr>
        <w:t xml:space="preserve">（2）操作质量是评判参赛选手的叉车驾驶技能基本功和叉车操作技巧的掌 握程度。比赛过程分为若干个操作环节，裁判根据参赛选手在这些环节中的失 误、不规范及未完成的内容等进行扣分。以下为各操作环节分值 </w:t>
      </w:r>
    </w:p>
    <w:p w14:paraId="5A9726D1">
      <w:pPr>
        <w:rPr>
          <w:sz w:val="28"/>
          <w:szCs w:val="28"/>
        </w:rPr>
      </w:pPr>
      <w:r>
        <w:rPr>
          <w:sz w:val="28"/>
          <w:szCs w:val="28"/>
        </w:rPr>
        <w:t xml:space="preserve">（2.1）起步前准备、启动叉车 10分 </w:t>
      </w:r>
    </w:p>
    <w:p w14:paraId="53D7EC8D">
      <w:pPr>
        <w:rPr>
          <w:sz w:val="28"/>
          <w:szCs w:val="28"/>
        </w:rPr>
      </w:pPr>
      <w:r>
        <w:rPr>
          <w:sz w:val="28"/>
          <w:szCs w:val="28"/>
        </w:rPr>
        <w:t>（2.2）叉取货物、</w:t>
      </w:r>
      <w:r>
        <w:rPr>
          <w:rFonts w:hint="eastAsia"/>
          <w:sz w:val="28"/>
          <w:szCs w:val="28"/>
        </w:rPr>
        <w:t>按规定</w:t>
      </w:r>
      <w:r>
        <w:rPr>
          <w:sz w:val="28"/>
          <w:szCs w:val="28"/>
        </w:rPr>
        <w:t xml:space="preserve">路线行驶 30分 </w:t>
      </w:r>
    </w:p>
    <w:p w14:paraId="394A545B">
      <w:pPr>
        <w:rPr>
          <w:sz w:val="28"/>
          <w:szCs w:val="28"/>
        </w:rPr>
      </w:pPr>
      <w:r>
        <w:rPr>
          <w:sz w:val="28"/>
          <w:szCs w:val="28"/>
        </w:rPr>
        <w:t xml:space="preserve">（2.3）货品入库 </w:t>
      </w:r>
      <w:r>
        <w:rPr>
          <w:rFonts w:hint="eastAsia"/>
          <w:sz w:val="28"/>
          <w:szCs w:val="28"/>
        </w:rPr>
        <w:t>10</w:t>
      </w:r>
      <w:r>
        <w:rPr>
          <w:sz w:val="28"/>
          <w:szCs w:val="28"/>
        </w:rPr>
        <w:t xml:space="preserve"> 分 </w:t>
      </w:r>
    </w:p>
    <w:p w14:paraId="05D104F5">
      <w:pPr>
        <w:rPr>
          <w:sz w:val="28"/>
          <w:szCs w:val="28"/>
        </w:rPr>
      </w:pPr>
      <w:r>
        <w:rPr>
          <w:sz w:val="28"/>
          <w:szCs w:val="28"/>
        </w:rPr>
        <w:t xml:space="preserve">（2.4）货物移库 </w:t>
      </w:r>
      <w:r>
        <w:rPr>
          <w:rFonts w:hint="eastAsia"/>
          <w:sz w:val="28"/>
          <w:szCs w:val="28"/>
        </w:rPr>
        <w:t>20</w:t>
      </w:r>
      <w:r>
        <w:rPr>
          <w:sz w:val="28"/>
          <w:szCs w:val="28"/>
        </w:rPr>
        <w:t xml:space="preserve">分 </w:t>
      </w:r>
    </w:p>
    <w:p w14:paraId="625D50AC">
      <w:pPr>
        <w:rPr>
          <w:sz w:val="28"/>
          <w:szCs w:val="28"/>
        </w:rPr>
      </w:pPr>
      <w:r>
        <w:rPr>
          <w:sz w:val="28"/>
          <w:szCs w:val="28"/>
        </w:rPr>
        <w:t>（2.6）</w:t>
      </w:r>
      <w:r>
        <w:rPr>
          <w:rFonts w:hint="eastAsia"/>
          <w:sz w:val="28"/>
          <w:szCs w:val="28"/>
        </w:rPr>
        <w:t>坡道</w:t>
      </w:r>
      <w:r>
        <w:rPr>
          <w:sz w:val="28"/>
          <w:szCs w:val="28"/>
        </w:rPr>
        <w:t>起步停车</w:t>
      </w:r>
      <w:r>
        <w:rPr>
          <w:rFonts w:hint="eastAsia"/>
          <w:sz w:val="28"/>
          <w:szCs w:val="28"/>
        </w:rPr>
        <w:t>20</w:t>
      </w:r>
      <w:r>
        <w:rPr>
          <w:sz w:val="28"/>
          <w:szCs w:val="28"/>
        </w:rPr>
        <w:t xml:space="preserve">分 </w:t>
      </w:r>
    </w:p>
    <w:p w14:paraId="73390248">
      <w:pPr>
        <w:rPr>
          <w:sz w:val="28"/>
          <w:szCs w:val="28"/>
        </w:rPr>
      </w:pPr>
      <w:r>
        <w:rPr>
          <w:sz w:val="28"/>
          <w:szCs w:val="28"/>
        </w:rPr>
        <w:t>（2.7）入库停车</w:t>
      </w:r>
      <w:r>
        <w:rPr>
          <w:rFonts w:hint="eastAsia"/>
          <w:sz w:val="28"/>
          <w:szCs w:val="28"/>
        </w:rPr>
        <w:t>10</w:t>
      </w:r>
      <w:r>
        <w:rPr>
          <w:sz w:val="28"/>
          <w:szCs w:val="28"/>
        </w:rPr>
        <w:t xml:space="preserve"> 分</w:t>
      </w:r>
    </w:p>
    <w:p w14:paraId="484BC8F7">
      <w:pPr>
        <w:rPr>
          <w:sz w:val="28"/>
          <w:szCs w:val="28"/>
        </w:rPr>
      </w:pPr>
      <w:r>
        <w:rPr>
          <w:sz w:val="28"/>
          <w:szCs w:val="28"/>
        </w:rPr>
        <w:t xml:space="preserve"> 2.评分细则</w:t>
      </w:r>
    </w:p>
    <w:tbl>
      <w:tblPr>
        <w:tblStyle w:val="5"/>
        <w:tblW w:w="9112" w:type="dxa"/>
        <w:tblInd w:w="534" w:type="dxa"/>
        <w:tblLayout w:type="fixed"/>
        <w:tblCellMar>
          <w:top w:w="0" w:type="dxa"/>
          <w:left w:w="108" w:type="dxa"/>
          <w:bottom w:w="0" w:type="dxa"/>
          <w:right w:w="108" w:type="dxa"/>
        </w:tblCellMar>
      </w:tblPr>
      <w:tblGrid>
        <w:gridCol w:w="706"/>
        <w:gridCol w:w="439"/>
        <w:gridCol w:w="55"/>
        <w:gridCol w:w="1788"/>
        <w:gridCol w:w="12"/>
        <w:gridCol w:w="968"/>
        <w:gridCol w:w="112"/>
        <w:gridCol w:w="735"/>
        <w:gridCol w:w="695"/>
        <w:gridCol w:w="190"/>
        <w:gridCol w:w="1594"/>
        <w:gridCol w:w="1050"/>
        <w:gridCol w:w="768"/>
      </w:tblGrid>
      <w:tr w14:paraId="52BAC899">
        <w:tblPrEx>
          <w:tblCellMar>
            <w:top w:w="0" w:type="dxa"/>
            <w:left w:w="108" w:type="dxa"/>
            <w:bottom w:w="0" w:type="dxa"/>
            <w:right w:w="108" w:type="dxa"/>
          </w:tblCellMar>
        </w:tblPrEx>
        <w:trPr>
          <w:trHeight w:val="470" w:hRule="atLeast"/>
        </w:trPr>
        <w:tc>
          <w:tcPr>
            <w:tcW w:w="1145" w:type="dxa"/>
            <w:gridSpan w:val="2"/>
            <w:tcBorders>
              <w:top w:val="single" w:color="auto" w:sz="4" w:space="0"/>
              <w:left w:val="single" w:color="auto" w:sz="4" w:space="0"/>
              <w:bottom w:val="single" w:color="auto" w:sz="4" w:space="0"/>
              <w:right w:val="single" w:color="auto" w:sz="4" w:space="0"/>
            </w:tcBorders>
            <w:noWrap w:val="0"/>
            <w:vAlign w:val="center"/>
          </w:tcPr>
          <w:p w14:paraId="72F45FC0">
            <w:pPr>
              <w:spacing w:line="400" w:lineRule="exact"/>
              <w:ind w:right="-48"/>
              <w:jc w:val="center"/>
              <w:rPr>
                <w:rFonts w:ascii="宋体" w:hAnsi="宋体"/>
                <w:bCs/>
                <w:color w:val="FF0000"/>
                <w:sz w:val="21"/>
                <w:szCs w:val="21"/>
              </w:rPr>
            </w:pPr>
            <w:r>
              <w:rPr>
                <w:rFonts w:hint="eastAsia" w:ascii="宋体" w:hAnsi="宋体"/>
                <w:bCs/>
                <w:color w:val="FF0000"/>
                <w:sz w:val="21"/>
                <w:szCs w:val="21"/>
              </w:rPr>
              <w:t>姓名</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12D83D4E">
            <w:pPr>
              <w:spacing w:line="400" w:lineRule="exact"/>
              <w:ind w:right="-102"/>
              <w:jc w:val="center"/>
              <w:rPr>
                <w:rFonts w:ascii="宋体" w:hAnsi="宋体"/>
                <w:bCs/>
                <w:color w:val="FF0000"/>
                <w:sz w:val="21"/>
                <w:szCs w:val="21"/>
              </w:rPr>
            </w:pPr>
          </w:p>
        </w:tc>
        <w:tc>
          <w:tcPr>
            <w:tcW w:w="980" w:type="dxa"/>
            <w:gridSpan w:val="2"/>
            <w:tcBorders>
              <w:top w:val="single" w:color="auto" w:sz="4" w:space="0"/>
              <w:left w:val="single" w:color="auto" w:sz="4" w:space="0"/>
              <w:bottom w:val="single" w:color="auto" w:sz="4" w:space="0"/>
              <w:right w:val="single" w:color="auto" w:sz="4" w:space="0"/>
            </w:tcBorders>
            <w:noWrap w:val="0"/>
            <w:vAlign w:val="center"/>
          </w:tcPr>
          <w:p w14:paraId="25CDB4ED">
            <w:pPr>
              <w:spacing w:line="400" w:lineRule="exact"/>
              <w:ind w:right="-102"/>
              <w:jc w:val="center"/>
              <w:rPr>
                <w:rFonts w:ascii="宋体" w:hAnsi="宋体"/>
                <w:bCs/>
                <w:color w:val="FF0000"/>
                <w:sz w:val="21"/>
                <w:szCs w:val="21"/>
              </w:rPr>
            </w:pPr>
            <w:r>
              <w:rPr>
                <w:rFonts w:hint="eastAsia" w:ascii="宋体" w:hAnsi="宋体"/>
                <w:bCs/>
                <w:color w:val="FF0000"/>
                <w:sz w:val="21"/>
                <w:szCs w:val="21"/>
              </w:rPr>
              <w:t>考号</w:t>
            </w:r>
          </w:p>
        </w:tc>
        <w:tc>
          <w:tcPr>
            <w:tcW w:w="1542" w:type="dxa"/>
            <w:gridSpan w:val="3"/>
            <w:tcBorders>
              <w:top w:val="single" w:color="auto" w:sz="4" w:space="0"/>
              <w:left w:val="single" w:color="auto" w:sz="4" w:space="0"/>
              <w:bottom w:val="single" w:color="auto" w:sz="4" w:space="0"/>
              <w:right w:val="single" w:color="auto" w:sz="4" w:space="0"/>
            </w:tcBorders>
            <w:noWrap w:val="0"/>
            <w:vAlign w:val="center"/>
          </w:tcPr>
          <w:p w14:paraId="55256B55">
            <w:pPr>
              <w:spacing w:line="400" w:lineRule="exact"/>
              <w:ind w:right="-84"/>
              <w:jc w:val="center"/>
              <w:rPr>
                <w:rFonts w:ascii="宋体" w:hAnsi="宋体"/>
                <w:bCs/>
                <w:color w:val="FF0000"/>
                <w:sz w:val="21"/>
                <w:szCs w:val="21"/>
              </w:rPr>
            </w:pPr>
          </w:p>
        </w:tc>
        <w:tc>
          <w:tcPr>
            <w:tcW w:w="1784" w:type="dxa"/>
            <w:gridSpan w:val="2"/>
            <w:tcBorders>
              <w:top w:val="single" w:color="auto" w:sz="4" w:space="0"/>
              <w:left w:val="single" w:color="auto" w:sz="4" w:space="0"/>
              <w:bottom w:val="single" w:color="auto" w:sz="4" w:space="0"/>
              <w:right w:val="single" w:color="auto" w:sz="4" w:space="0"/>
            </w:tcBorders>
            <w:noWrap w:val="0"/>
            <w:vAlign w:val="center"/>
          </w:tcPr>
          <w:p w14:paraId="5C1196A3">
            <w:pPr>
              <w:spacing w:line="400" w:lineRule="exact"/>
              <w:ind w:right="-84"/>
              <w:jc w:val="center"/>
              <w:rPr>
                <w:rFonts w:hint="eastAsia" w:ascii="宋体" w:hAnsi="宋体"/>
                <w:bCs/>
                <w:color w:val="FF0000"/>
                <w:sz w:val="21"/>
                <w:szCs w:val="21"/>
              </w:rPr>
            </w:pPr>
            <w:r>
              <w:rPr>
                <w:rFonts w:hint="eastAsia" w:ascii="宋体" w:hAnsi="宋体"/>
                <w:bCs/>
                <w:color w:val="FF0000"/>
                <w:sz w:val="21"/>
                <w:szCs w:val="21"/>
              </w:rPr>
              <w:t>比赛用时</w:t>
            </w:r>
          </w:p>
        </w:tc>
        <w:tc>
          <w:tcPr>
            <w:tcW w:w="1818" w:type="dxa"/>
            <w:gridSpan w:val="2"/>
            <w:tcBorders>
              <w:top w:val="single" w:color="auto" w:sz="4" w:space="0"/>
              <w:left w:val="single" w:color="auto" w:sz="4" w:space="0"/>
              <w:bottom w:val="single" w:color="auto" w:sz="4" w:space="0"/>
              <w:right w:val="single" w:color="auto" w:sz="4" w:space="0"/>
            </w:tcBorders>
            <w:noWrap w:val="0"/>
            <w:vAlign w:val="center"/>
          </w:tcPr>
          <w:p w14:paraId="6D8083A3">
            <w:pPr>
              <w:spacing w:line="400" w:lineRule="exact"/>
              <w:ind w:right="-80"/>
              <w:jc w:val="center"/>
              <w:rPr>
                <w:rFonts w:ascii="宋体" w:hAnsi="宋体"/>
                <w:bCs/>
                <w:color w:val="FF0000"/>
                <w:sz w:val="21"/>
                <w:szCs w:val="21"/>
                <w:highlight w:val="yellow"/>
              </w:rPr>
            </w:pPr>
          </w:p>
        </w:tc>
      </w:tr>
      <w:tr w14:paraId="01F91416">
        <w:tblPrEx>
          <w:tblCellMar>
            <w:top w:w="0" w:type="dxa"/>
            <w:left w:w="108" w:type="dxa"/>
            <w:bottom w:w="0" w:type="dxa"/>
            <w:right w:w="108" w:type="dxa"/>
          </w:tblCellMar>
        </w:tblPrEx>
        <w:trPr>
          <w:trHeight w:val="571" w:hRule="atLeast"/>
        </w:trPr>
        <w:tc>
          <w:tcPr>
            <w:tcW w:w="706" w:type="dxa"/>
            <w:tcBorders>
              <w:top w:val="single" w:color="auto" w:sz="4" w:space="0"/>
              <w:left w:val="single" w:color="auto" w:sz="4" w:space="0"/>
              <w:bottom w:val="single" w:color="auto" w:sz="4" w:space="0"/>
              <w:right w:val="single" w:color="auto" w:sz="4" w:space="0"/>
            </w:tcBorders>
            <w:noWrap w:val="0"/>
            <w:vAlign w:val="center"/>
          </w:tcPr>
          <w:p w14:paraId="525F1F7F">
            <w:pPr>
              <w:spacing w:line="400" w:lineRule="exact"/>
              <w:ind w:right="-48"/>
              <w:jc w:val="center"/>
              <w:rPr>
                <w:rFonts w:ascii="宋体" w:hAnsi="宋体"/>
                <w:bCs/>
                <w:color w:val="FF0000"/>
                <w:sz w:val="21"/>
                <w:szCs w:val="21"/>
              </w:rPr>
            </w:pPr>
            <w:r>
              <w:rPr>
                <w:rFonts w:hint="eastAsia" w:ascii="宋体" w:hAnsi="宋体"/>
                <w:bCs/>
                <w:color w:val="FF0000"/>
                <w:sz w:val="21"/>
                <w:szCs w:val="21"/>
              </w:rPr>
              <w:t>序号</w:t>
            </w:r>
          </w:p>
        </w:tc>
        <w:tc>
          <w:tcPr>
            <w:tcW w:w="4109" w:type="dxa"/>
            <w:gridSpan w:val="7"/>
            <w:tcBorders>
              <w:top w:val="single" w:color="auto" w:sz="4" w:space="0"/>
              <w:left w:val="single" w:color="auto" w:sz="4" w:space="0"/>
              <w:bottom w:val="single" w:color="auto" w:sz="4" w:space="0"/>
              <w:right w:val="single" w:color="auto" w:sz="4" w:space="0"/>
            </w:tcBorders>
            <w:noWrap w:val="0"/>
            <w:vAlign w:val="center"/>
          </w:tcPr>
          <w:p w14:paraId="798D1FCB">
            <w:pPr>
              <w:spacing w:line="400" w:lineRule="exact"/>
              <w:ind w:right="-48"/>
              <w:jc w:val="center"/>
              <w:rPr>
                <w:rFonts w:ascii="宋体" w:hAnsi="宋体"/>
                <w:bCs/>
                <w:color w:val="FF0000"/>
                <w:sz w:val="21"/>
                <w:szCs w:val="21"/>
              </w:rPr>
            </w:pPr>
            <w:r>
              <w:rPr>
                <w:rFonts w:hint="eastAsia" w:ascii="宋体" w:hAnsi="宋体"/>
                <w:bCs/>
                <w:color w:val="FF0000"/>
                <w:sz w:val="21"/>
                <w:szCs w:val="21"/>
              </w:rPr>
              <w:t>内  容</w:t>
            </w:r>
          </w:p>
        </w:tc>
        <w:tc>
          <w:tcPr>
            <w:tcW w:w="2479" w:type="dxa"/>
            <w:gridSpan w:val="3"/>
            <w:tcBorders>
              <w:top w:val="single" w:color="auto" w:sz="4" w:space="0"/>
              <w:left w:val="single" w:color="auto" w:sz="4" w:space="0"/>
              <w:bottom w:val="single" w:color="000000" w:sz="4" w:space="0"/>
              <w:right w:val="single" w:color="auto" w:sz="4" w:space="0"/>
            </w:tcBorders>
            <w:noWrap w:val="0"/>
            <w:vAlign w:val="center"/>
          </w:tcPr>
          <w:p w14:paraId="750706D2">
            <w:pPr>
              <w:spacing w:line="400" w:lineRule="exact"/>
              <w:ind w:right="-48"/>
              <w:jc w:val="center"/>
              <w:rPr>
                <w:rFonts w:ascii="宋体" w:hAnsi="宋体"/>
                <w:bCs/>
                <w:color w:val="FF0000"/>
                <w:sz w:val="21"/>
                <w:szCs w:val="21"/>
              </w:rPr>
            </w:pPr>
            <w:r>
              <w:rPr>
                <w:rFonts w:hint="eastAsia" w:ascii="宋体" w:hAnsi="宋体"/>
                <w:bCs/>
                <w:color w:val="FF0000"/>
                <w:sz w:val="21"/>
                <w:szCs w:val="21"/>
              </w:rPr>
              <w:t>动作评分标准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AA33879">
            <w:pPr>
              <w:spacing w:line="400" w:lineRule="exact"/>
              <w:ind w:right="-48"/>
              <w:jc w:val="center"/>
              <w:rPr>
                <w:rFonts w:hint="eastAsia" w:ascii="宋体" w:hAnsi="宋体"/>
                <w:bCs/>
                <w:color w:val="FF0000"/>
                <w:sz w:val="21"/>
                <w:szCs w:val="21"/>
              </w:rPr>
            </w:pPr>
            <w:r>
              <w:rPr>
                <w:rFonts w:hint="eastAsia" w:ascii="宋体" w:hAnsi="宋体"/>
                <w:bCs/>
                <w:color w:val="FF0000"/>
                <w:sz w:val="21"/>
                <w:szCs w:val="21"/>
              </w:rPr>
              <w:t>犯规次数</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7FC39FBF">
            <w:pPr>
              <w:spacing w:line="400" w:lineRule="exact"/>
              <w:ind w:left="-214" w:leftChars="-102" w:right="-48"/>
              <w:jc w:val="center"/>
              <w:rPr>
                <w:rFonts w:hint="default" w:ascii="宋体" w:hAnsi="宋体"/>
                <w:bCs/>
                <w:color w:val="FF0000"/>
                <w:sz w:val="21"/>
                <w:szCs w:val="21"/>
                <w:lang w:val="en-US"/>
              </w:rPr>
            </w:pPr>
            <w:r>
              <w:rPr>
                <w:rFonts w:hint="eastAsia" w:ascii="宋体" w:hAnsi="宋体"/>
                <w:bCs/>
                <w:color w:val="FF0000"/>
                <w:sz w:val="21"/>
                <w:szCs w:val="21"/>
                <w:lang w:val="en-US" w:eastAsia="zh-CN"/>
              </w:rPr>
              <w:t>罚秒</w:t>
            </w:r>
          </w:p>
        </w:tc>
      </w:tr>
      <w:tr w14:paraId="49E4AB7D">
        <w:tblPrEx>
          <w:tblCellMar>
            <w:top w:w="0" w:type="dxa"/>
            <w:left w:w="108" w:type="dxa"/>
            <w:bottom w:w="0" w:type="dxa"/>
            <w:right w:w="108" w:type="dxa"/>
          </w:tblCellMar>
        </w:tblPrEx>
        <w:trPr>
          <w:trHeight w:val="411" w:hRule="atLeast"/>
        </w:trPr>
        <w:tc>
          <w:tcPr>
            <w:tcW w:w="7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BA2630">
            <w:pPr>
              <w:spacing w:line="400" w:lineRule="exact"/>
              <w:ind w:right="-48" w:rightChars="0"/>
              <w:jc w:val="center"/>
              <w:rPr>
                <w:rFonts w:hint="eastAsia" w:ascii="宋体" w:hAnsi="宋体" w:eastAsiaTheme="minorEastAsia" w:cstheme="minorBidi"/>
                <w:bCs/>
                <w:color w:val="FF0000"/>
                <w:kern w:val="2"/>
                <w:sz w:val="21"/>
                <w:szCs w:val="21"/>
                <w:lang w:val="en-US" w:eastAsia="zh-CN" w:bidi="ar-SA"/>
              </w:rPr>
            </w:pPr>
            <w:r>
              <w:rPr>
                <w:rFonts w:hint="eastAsia" w:ascii="宋体" w:hAnsi="宋体"/>
                <w:bCs/>
                <w:color w:val="FF0000"/>
                <w:sz w:val="21"/>
                <w:szCs w:val="21"/>
              </w:rPr>
              <w:t>1</w:t>
            </w:r>
          </w:p>
        </w:tc>
        <w:tc>
          <w:tcPr>
            <w:tcW w:w="4109" w:type="dxa"/>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14:paraId="45E628F9">
            <w:pPr>
              <w:spacing w:line="400" w:lineRule="exact"/>
              <w:ind w:right="-48" w:rightChars="0"/>
              <w:rPr>
                <w:rFonts w:hint="eastAsia" w:ascii="宋体" w:hAnsi="宋体" w:eastAsiaTheme="minorEastAsia" w:cstheme="minorBidi"/>
                <w:bCs/>
                <w:color w:val="FF0000"/>
                <w:kern w:val="2"/>
                <w:sz w:val="21"/>
                <w:szCs w:val="21"/>
                <w:lang w:val="en-US" w:eastAsia="zh-CN" w:bidi="ar-SA"/>
              </w:rPr>
            </w:pPr>
            <w:r>
              <w:rPr>
                <w:rFonts w:hint="eastAsia" w:ascii="宋体" w:hAnsi="宋体"/>
                <w:bCs/>
                <w:color w:val="FF0000"/>
                <w:sz w:val="21"/>
                <w:szCs w:val="21"/>
              </w:rPr>
              <w:t>不按动作要领上下车</w:t>
            </w:r>
            <w:r>
              <w:rPr>
                <w:rFonts w:hint="eastAsia" w:ascii="宋体" w:hAnsi="宋体"/>
                <w:bCs/>
                <w:color w:val="FF0000"/>
                <w:sz w:val="21"/>
                <w:szCs w:val="21"/>
                <w:lang w:eastAsia="zh-CN"/>
              </w:rPr>
              <w:t>（环车一周，调整座椅，系好安全带）</w:t>
            </w:r>
          </w:p>
        </w:tc>
        <w:tc>
          <w:tcPr>
            <w:tcW w:w="2479" w:type="dxa"/>
            <w:gridSpan w:val="3"/>
            <w:tcBorders>
              <w:top w:val="single" w:color="auto" w:sz="4" w:space="0"/>
              <w:left w:val="single" w:color="auto" w:sz="4" w:space="0"/>
              <w:bottom w:val="single" w:color="000000" w:sz="4" w:space="0"/>
              <w:right w:val="single" w:color="auto" w:sz="4" w:space="0"/>
            </w:tcBorders>
            <w:shd w:val="clear" w:color="auto" w:fill="auto"/>
            <w:noWrap w:val="0"/>
            <w:vAlign w:val="center"/>
          </w:tcPr>
          <w:p w14:paraId="4988C94B">
            <w:pPr>
              <w:spacing w:line="400" w:lineRule="exact"/>
              <w:ind w:right="-48" w:rightChars="0"/>
              <w:rPr>
                <w:rFonts w:hint="eastAsia" w:ascii="宋体" w:hAnsi="宋体" w:eastAsiaTheme="minorEastAsia" w:cstheme="minorBidi"/>
                <w:bCs/>
                <w:color w:val="FF0000"/>
                <w:kern w:val="2"/>
                <w:sz w:val="21"/>
                <w:szCs w:val="21"/>
                <w:lang w:val="en-US" w:eastAsia="zh-CN" w:bidi="ar-SA"/>
              </w:rPr>
            </w:pPr>
            <w:r>
              <w:rPr>
                <w:rFonts w:hint="eastAsia" w:ascii="宋体" w:hAnsi="宋体"/>
                <w:bCs/>
                <w:color w:val="FF0000"/>
                <w:sz w:val="21"/>
                <w:szCs w:val="21"/>
              </w:rPr>
              <w:t>每次扣5</w:t>
            </w:r>
            <w:r>
              <w:rPr>
                <w:rFonts w:hint="eastAsia" w:ascii="宋体" w:hAnsi="宋体"/>
                <w:bCs/>
                <w:color w:val="FF0000"/>
                <w:sz w:val="21"/>
                <w:szCs w:val="21"/>
                <w:lang w:val="en-US" w:eastAsia="zh-CN"/>
              </w:rPr>
              <w:t>秒</w:t>
            </w:r>
          </w:p>
        </w:tc>
        <w:tc>
          <w:tcPr>
            <w:tcW w:w="1050" w:type="dxa"/>
            <w:tcBorders>
              <w:top w:val="single" w:color="auto" w:sz="4" w:space="0"/>
              <w:left w:val="nil"/>
              <w:bottom w:val="single" w:color="auto" w:sz="4" w:space="0"/>
              <w:right w:val="single" w:color="auto" w:sz="4" w:space="0"/>
            </w:tcBorders>
            <w:noWrap w:val="0"/>
            <w:vAlign w:val="center"/>
          </w:tcPr>
          <w:p w14:paraId="3F75E573">
            <w:pPr>
              <w:spacing w:line="400" w:lineRule="exact"/>
              <w:ind w:right="-48"/>
              <w:jc w:val="center"/>
              <w:rPr>
                <w:rFonts w:hint="eastAsia" w:ascii="宋体" w:hAnsi="宋体"/>
                <w:bCs/>
                <w:color w:val="FF0000"/>
                <w:sz w:val="21"/>
                <w:szCs w:val="21"/>
              </w:rPr>
            </w:pPr>
          </w:p>
        </w:tc>
        <w:tc>
          <w:tcPr>
            <w:tcW w:w="768" w:type="dxa"/>
            <w:tcBorders>
              <w:top w:val="single" w:color="auto" w:sz="4" w:space="0"/>
              <w:left w:val="nil"/>
              <w:bottom w:val="single" w:color="auto" w:sz="4" w:space="0"/>
              <w:right w:val="single" w:color="auto" w:sz="4" w:space="0"/>
            </w:tcBorders>
            <w:noWrap w:val="0"/>
            <w:vAlign w:val="center"/>
          </w:tcPr>
          <w:p w14:paraId="5F17BA4C">
            <w:pPr>
              <w:spacing w:line="400" w:lineRule="exact"/>
              <w:ind w:left="-214" w:leftChars="-102" w:right="-48"/>
              <w:jc w:val="center"/>
              <w:rPr>
                <w:rFonts w:hint="eastAsia" w:ascii="宋体" w:hAnsi="宋体"/>
                <w:bCs/>
                <w:color w:val="FF0000"/>
                <w:sz w:val="21"/>
                <w:szCs w:val="21"/>
              </w:rPr>
            </w:pPr>
          </w:p>
        </w:tc>
      </w:tr>
      <w:tr w14:paraId="06BE4C32">
        <w:tblPrEx>
          <w:tblCellMar>
            <w:top w:w="0" w:type="dxa"/>
            <w:left w:w="108" w:type="dxa"/>
            <w:bottom w:w="0" w:type="dxa"/>
            <w:right w:w="108" w:type="dxa"/>
          </w:tblCellMar>
        </w:tblPrEx>
        <w:trPr>
          <w:trHeight w:val="411" w:hRule="atLeast"/>
        </w:trPr>
        <w:tc>
          <w:tcPr>
            <w:tcW w:w="7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AC23EA">
            <w:pPr>
              <w:spacing w:line="400" w:lineRule="exact"/>
              <w:ind w:right="-48" w:rightChars="0"/>
              <w:jc w:val="center"/>
              <w:rPr>
                <w:rFonts w:hint="eastAsia" w:ascii="宋体" w:hAnsi="宋体" w:eastAsiaTheme="minorEastAsia" w:cstheme="minorBidi"/>
                <w:bCs/>
                <w:color w:val="FF0000"/>
                <w:kern w:val="2"/>
                <w:sz w:val="21"/>
                <w:szCs w:val="21"/>
                <w:lang w:val="en-US" w:eastAsia="zh-CN" w:bidi="ar-SA"/>
              </w:rPr>
            </w:pPr>
            <w:r>
              <w:rPr>
                <w:rFonts w:hint="eastAsia" w:ascii="宋体" w:hAnsi="宋体"/>
                <w:bCs/>
                <w:color w:val="FF0000"/>
                <w:sz w:val="21"/>
                <w:szCs w:val="21"/>
              </w:rPr>
              <w:t>2</w:t>
            </w:r>
          </w:p>
        </w:tc>
        <w:tc>
          <w:tcPr>
            <w:tcW w:w="4109" w:type="dxa"/>
            <w:gridSpan w:val="7"/>
            <w:tcBorders>
              <w:top w:val="single" w:color="auto" w:sz="4" w:space="0"/>
              <w:left w:val="single" w:color="auto" w:sz="4" w:space="0"/>
              <w:bottom w:val="single" w:color="auto" w:sz="4" w:space="0"/>
              <w:right w:val="single" w:color="auto" w:sz="4" w:space="0"/>
            </w:tcBorders>
            <w:noWrap w:val="0"/>
            <w:vAlign w:val="center"/>
          </w:tcPr>
          <w:p w14:paraId="22459202">
            <w:pPr>
              <w:spacing w:line="400" w:lineRule="exact"/>
              <w:ind w:right="-48"/>
              <w:rPr>
                <w:rFonts w:hint="eastAsia" w:ascii="宋体" w:hAnsi="宋体"/>
                <w:bCs/>
                <w:color w:val="FF0000"/>
                <w:sz w:val="21"/>
                <w:szCs w:val="21"/>
              </w:rPr>
            </w:pPr>
            <w:r>
              <w:rPr>
                <w:rFonts w:hint="eastAsia" w:ascii="宋体" w:hAnsi="宋体"/>
                <w:bCs/>
                <w:color w:val="FF0000"/>
                <w:sz w:val="21"/>
                <w:szCs w:val="21"/>
              </w:rPr>
              <w:t>启车未鸣笛</w:t>
            </w:r>
          </w:p>
        </w:tc>
        <w:tc>
          <w:tcPr>
            <w:tcW w:w="2479" w:type="dxa"/>
            <w:gridSpan w:val="3"/>
            <w:tcBorders>
              <w:top w:val="single" w:color="auto" w:sz="4" w:space="0"/>
              <w:left w:val="single" w:color="auto" w:sz="4" w:space="0"/>
              <w:bottom w:val="single" w:color="000000" w:sz="4" w:space="0"/>
              <w:right w:val="single" w:color="auto" w:sz="4" w:space="0"/>
            </w:tcBorders>
            <w:noWrap w:val="0"/>
            <w:vAlign w:val="center"/>
          </w:tcPr>
          <w:p w14:paraId="7F5CF8D1">
            <w:pPr>
              <w:spacing w:line="400" w:lineRule="exact"/>
              <w:ind w:right="-48"/>
              <w:rPr>
                <w:rFonts w:hint="eastAsia" w:ascii="宋体" w:hAnsi="宋体" w:eastAsiaTheme="minorEastAsia"/>
                <w:bCs/>
                <w:color w:val="FF0000"/>
                <w:sz w:val="21"/>
                <w:szCs w:val="21"/>
                <w:lang w:eastAsia="zh-CN"/>
              </w:rPr>
            </w:pPr>
            <w:r>
              <w:rPr>
                <w:rFonts w:hint="eastAsia" w:ascii="宋体" w:hAnsi="宋体"/>
                <w:bCs/>
                <w:color w:val="FF0000"/>
                <w:sz w:val="21"/>
                <w:szCs w:val="21"/>
              </w:rPr>
              <w:t>扣5</w:t>
            </w:r>
            <w:r>
              <w:rPr>
                <w:rFonts w:hint="eastAsia" w:ascii="宋体" w:hAnsi="宋体"/>
                <w:bCs/>
                <w:color w:val="FF0000"/>
                <w:sz w:val="21"/>
                <w:szCs w:val="21"/>
                <w:lang w:val="en-US" w:eastAsia="zh-CN"/>
              </w:rPr>
              <w:t>秒</w:t>
            </w:r>
          </w:p>
        </w:tc>
        <w:tc>
          <w:tcPr>
            <w:tcW w:w="1050" w:type="dxa"/>
            <w:tcBorders>
              <w:top w:val="single" w:color="auto" w:sz="4" w:space="0"/>
              <w:left w:val="nil"/>
              <w:bottom w:val="single" w:color="auto" w:sz="4" w:space="0"/>
              <w:right w:val="single" w:color="auto" w:sz="4" w:space="0"/>
            </w:tcBorders>
            <w:noWrap w:val="0"/>
            <w:vAlign w:val="center"/>
          </w:tcPr>
          <w:p w14:paraId="18320DCE">
            <w:pPr>
              <w:spacing w:line="400" w:lineRule="exact"/>
              <w:ind w:right="-48"/>
              <w:jc w:val="center"/>
              <w:rPr>
                <w:rFonts w:hint="eastAsia" w:ascii="宋体" w:hAnsi="宋体"/>
                <w:bCs/>
                <w:color w:val="FF0000"/>
                <w:sz w:val="21"/>
                <w:szCs w:val="21"/>
              </w:rPr>
            </w:pPr>
          </w:p>
        </w:tc>
        <w:tc>
          <w:tcPr>
            <w:tcW w:w="768" w:type="dxa"/>
            <w:tcBorders>
              <w:top w:val="single" w:color="auto" w:sz="4" w:space="0"/>
              <w:left w:val="nil"/>
              <w:bottom w:val="single" w:color="auto" w:sz="4" w:space="0"/>
              <w:right w:val="single" w:color="auto" w:sz="4" w:space="0"/>
            </w:tcBorders>
            <w:noWrap w:val="0"/>
            <w:vAlign w:val="center"/>
          </w:tcPr>
          <w:p w14:paraId="33F92406">
            <w:pPr>
              <w:spacing w:line="400" w:lineRule="exact"/>
              <w:ind w:left="-214" w:leftChars="-102" w:right="-48"/>
              <w:jc w:val="center"/>
              <w:rPr>
                <w:rFonts w:hint="eastAsia" w:ascii="宋体" w:hAnsi="宋体"/>
                <w:bCs/>
                <w:color w:val="FF0000"/>
                <w:sz w:val="21"/>
                <w:szCs w:val="21"/>
              </w:rPr>
            </w:pPr>
          </w:p>
        </w:tc>
      </w:tr>
      <w:tr w14:paraId="35F42CE4">
        <w:tblPrEx>
          <w:tblCellMar>
            <w:top w:w="0" w:type="dxa"/>
            <w:left w:w="108" w:type="dxa"/>
            <w:bottom w:w="0" w:type="dxa"/>
            <w:right w:w="108" w:type="dxa"/>
          </w:tblCellMar>
        </w:tblPrEx>
        <w:trPr>
          <w:trHeight w:val="411" w:hRule="atLeast"/>
        </w:trPr>
        <w:tc>
          <w:tcPr>
            <w:tcW w:w="7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6681C2">
            <w:pPr>
              <w:spacing w:line="400" w:lineRule="exact"/>
              <w:ind w:right="-48" w:rightChars="0"/>
              <w:jc w:val="center"/>
              <w:rPr>
                <w:rFonts w:hint="eastAsia" w:ascii="宋体" w:hAnsi="宋体" w:eastAsiaTheme="minorEastAsia" w:cstheme="minorBidi"/>
                <w:bCs/>
                <w:color w:val="FF0000"/>
                <w:kern w:val="2"/>
                <w:sz w:val="21"/>
                <w:szCs w:val="21"/>
                <w:lang w:val="en-US" w:eastAsia="zh-CN" w:bidi="ar-SA"/>
              </w:rPr>
            </w:pPr>
            <w:r>
              <w:rPr>
                <w:rFonts w:hint="eastAsia" w:ascii="宋体" w:hAnsi="宋体"/>
                <w:bCs/>
                <w:color w:val="FF0000"/>
                <w:sz w:val="21"/>
                <w:szCs w:val="21"/>
              </w:rPr>
              <w:t>3</w:t>
            </w:r>
          </w:p>
        </w:tc>
        <w:tc>
          <w:tcPr>
            <w:tcW w:w="4109" w:type="dxa"/>
            <w:gridSpan w:val="7"/>
            <w:tcBorders>
              <w:top w:val="single" w:color="auto" w:sz="4" w:space="0"/>
              <w:left w:val="single" w:color="auto" w:sz="4" w:space="0"/>
              <w:bottom w:val="single" w:color="auto" w:sz="4" w:space="0"/>
              <w:right w:val="single" w:color="auto" w:sz="4" w:space="0"/>
            </w:tcBorders>
            <w:noWrap w:val="0"/>
            <w:vAlign w:val="center"/>
          </w:tcPr>
          <w:p w14:paraId="6B89BE50">
            <w:pPr>
              <w:spacing w:line="400" w:lineRule="exact"/>
              <w:ind w:right="-48"/>
              <w:rPr>
                <w:rFonts w:ascii="宋体" w:hAnsi="宋体"/>
                <w:bCs/>
                <w:color w:val="FF0000"/>
                <w:sz w:val="21"/>
                <w:szCs w:val="21"/>
              </w:rPr>
            </w:pPr>
            <w:r>
              <w:rPr>
                <w:rFonts w:hint="eastAsia" w:ascii="宋体" w:hAnsi="宋体"/>
                <w:bCs/>
                <w:color w:val="FF0000"/>
                <w:sz w:val="21"/>
                <w:szCs w:val="21"/>
              </w:rPr>
              <w:t>未松开手刹行车</w:t>
            </w:r>
          </w:p>
        </w:tc>
        <w:tc>
          <w:tcPr>
            <w:tcW w:w="2479" w:type="dxa"/>
            <w:gridSpan w:val="3"/>
            <w:tcBorders>
              <w:top w:val="single" w:color="auto" w:sz="4" w:space="0"/>
              <w:left w:val="single" w:color="auto" w:sz="4" w:space="0"/>
              <w:bottom w:val="single" w:color="000000" w:sz="4" w:space="0"/>
              <w:right w:val="single" w:color="auto" w:sz="4" w:space="0"/>
            </w:tcBorders>
            <w:noWrap w:val="0"/>
            <w:vAlign w:val="center"/>
          </w:tcPr>
          <w:p w14:paraId="5FF24341">
            <w:pPr>
              <w:spacing w:line="400" w:lineRule="exact"/>
              <w:ind w:right="-48"/>
              <w:rPr>
                <w:rFonts w:hint="eastAsia" w:ascii="宋体" w:hAnsi="宋体" w:eastAsiaTheme="minorEastAsia"/>
                <w:bCs/>
                <w:color w:val="FF0000"/>
                <w:sz w:val="21"/>
                <w:szCs w:val="21"/>
                <w:lang w:eastAsia="zh-CN"/>
              </w:rPr>
            </w:pPr>
            <w:r>
              <w:rPr>
                <w:rFonts w:hint="eastAsia" w:ascii="宋体" w:hAnsi="宋体"/>
                <w:bCs/>
                <w:color w:val="FF0000"/>
                <w:sz w:val="21"/>
                <w:szCs w:val="21"/>
              </w:rPr>
              <w:t>扣5</w:t>
            </w:r>
            <w:r>
              <w:rPr>
                <w:rFonts w:hint="eastAsia" w:ascii="宋体" w:hAnsi="宋体"/>
                <w:bCs/>
                <w:color w:val="FF0000"/>
                <w:sz w:val="21"/>
                <w:szCs w:val="21"/>
                <w:lang w:val="en-US" w:eastAsia="zh-CN"/>
              </w:rPr>
              <w:t>秒</w:t>
            </w:r>
          </w:p>
        </w:tc>
        <w:tc>
          <w:tcPr>
            <w:tcW w:w="1050" w:type="dxa"/>
            <w:tcBorders>
              <w:left w:val="nil"/>
              <w:bottom w:val="single" w:color="auto" w:sz="4" w:space="0"/>
              <w:right w:val="single" w:color="auto" w:sz="4" w:space="0"/>
            </w:tcBorders>
            <w:noWrap w:val="0"/>
            <w:vAlign w:val="center"/>
          </w:tcPr>
          <w:p w14:paraId="7E8C8C5D">
            <w:pPr>
              <w:spacing w:line="400" w:lineRule="exact"/>
              <w:ind w:right="-48"/>
              <w:jc w:val="center"/>
              <w:rPr>
                <w:rFonts w:hint="eastAsia" w:ascii="宋体" w:hAnsi="宋体"/>
                <w:bCs/>
                <w:color w:val="FF0000"/>
                <w:sz w:val="21"/>
                <w:szCs w:val="21"/>
              </w:rPr>
            </w:pPr>
          </w:p>
        </w:tc>
        <w:tc>
          <w:tcPr>
            <w:tcW w:w="768" w:type="dxa"/>
            <w:tcBorders>
              <w:left w:val="nil"/>
              <w:bottom w:val="single" w:color="auto" w:sz="4" w:space="0"/>
              <w:right w:val="single" w:color="auto" w:sz="4" w:space="0"/>
            </w:tcBorders>
            <w:noWrap w:val="0"/>
            <w:vAlign w:val="center"/>
          </w:tcPr>
          <w:p w14:paraId="7E4E9CE4">
            <w:pPr>
              <w:spacing w:line="400" w:lineRule="exact"/>
              <w:ind w:left="-214" w:leftChars="-102" w:right="-48"/>
              <w:jc w:val="center"/>
              <w:rPr>
                <w:rFonts w:hint="eastAsia" w:ascii="宋体" w:hAnsi="宋体"/>
                <w:bCs/>
                <w:color w:val="FF0000"/>
                <w:sz w:val="21"/>
                <w:szCs w:val="21"/>
              </w:rPr>
            </w:pPr>
          </w:p>
        </w:tc>
      </w:tr>
      <w:tr w14:paraId="053F71C6">
        <w:tblPrEx>
          <w:tblCellMar>
            <w:top w:w="0" w:type="dxa"/>
            <w:left w:w="108" w:type="dxa"/>
            <w:bottom w:w="0" w:type="dxa"/>
            <w:right w:w="108" w:type="dxa"/>
          </w:tblCellMar>
        </w:tblPrEx>
        <w:trPr>
          <w:trHeight w:val="411" w:hRule="atLeast"/>
        </w:trPr>
        <w:tc>
          <w:tcPr>
            <w:tcW w:w="7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938B7C">
            <w:pPr>
              <w:spacing w:line="400" w:lineRule="exact"/>
              <w:ind w:right="-48" w:rightChars="0"/>
              <w:jc w:val="center"/>
              <w:rPr>
                <w:rFonts w:hint="eastAsia" w:ascii="宋体" w:hAnsi="宋体" w:eastAsiaTheme="minorEastAsia" w:cstheme="minorBidi"/>
                <w:bCs/>
                <w:color w:val="FF0000"/>
                <w:kern w:val="2"/>
                <w:sz w:val="21"/>
                <w:szCs w:val="21"/>
                <w:lang w:val="en-US" w:eastAsia="zh-CN" w:bidi="ar-SA"/>
              </w:rPr>
            </w:pPr>
            <w:r>
              <w:rPr>
                <w:rFonts w:hint="eastAsia" w:ascii="宋体" w:hAnsi="宋体"/>
                <w:bCs/>
                <w:color w:val="FF0000"/>
                <w:sz w:val="21"/>
                <w:szCs w:val="21"/>
              </w:rPr>
              <w:t>4</w:t>
            </w:r>
          </w:p>
        </w:tc>
        <w:tc>
          <w:tcPr>
            <w:tcW w:w="4109" w:type="dxa"/>
            <w:gridSpan w:val="7"/>
            <w:tcBorders>
              <w:top w:val="single" w:color="auto" w:sz="4" w:space="0"/>
              <w:left w:val="single" w:color="auto" w:sz="4" w:space="0"/>
              <w:bottom w:val="single" w:color="auto" w:sz="4" w:space="0"/>
              <w:right w:val="single" w:color="auto" w:sz="4" w:space="0"/>
            </w:tcBorders>
            <w:noWrap w:val="0"/>
            <w:vAlign w:val="center"/>
          </w:tcPr>
          <w:p w14:paraId="76B8C11E">
            <w:pPr>
              <w:spacing w:line="400" w:lineRule="exact"/>
              <w:ind w:right="-48"/>
              <w:rPr>
                <w:rFonts w:ascii="宋体" w:hAnsi="宋体"/>
                <w:bCs/>
                <w:color w:val="FF0000"/>
                <w:sz w:val="21"/>
                <w:szCs w:val="21"/>
              </w:rPr>
            </w:pPr>
            <w:r>
              <w:rPr>
                <w:rFonts w:hint="eastAsia" w:ascii="宋体" w:hAnsi="宋体"/>
                <w:bCs/>
                <w:color w:val="FF0000"/>
                <w:sz w:val="21"/>
                <w:szCs w:val="21"/>
              </w:rPr>
              <w:t>行车中身体任何部分超出车身</w:t>
            </w:r>
          </w:p>
        </w:tc>
        <w:tc>
          <w:tcPr>
            <w:tcW w:w="2479" w:type="dxa"/>
            <w:gridSpan w:val="3"/>
            <w:tcBorders>
              <w:top w:val="single" w:color="auto" w:sz="4" w:space="0"/>
              <w:left w:val="single" w:color="auto" w:sz="4" w:space="0"/>
              <w:bottom w:val="single" w:color="000000" w:sz="4" w:space="0"/>
              <w:right w:val="single" w:color="auto" w:sz="4" w:space="0"/>
            </w:tcBorders>
            <w:noWrap w:val="0"/>
            <w:vAlign w:val="center"/>
          </w:tcPr>
          <w:p w14:paraId="47C6C36A">
            <w:pPr>
              <w:spacing w:line="400" w:lineRule="exact"/>
              <w:ind w:right="-48"/>
              <w:rPr>
                <w:rFonts w:ascii="宋体" w:hAnsi="宋体"/>
                <w:bCs/>
                <w:color w:val="FF0000"/>
                <w:sz w:val="21"/>
                <w:szCs w:val="21"/>
              </w:rPr>
            </w:pPr>
            <w:r>
              <w:rPr>
                <w:rFonts w:hint="eastAsia" w:ascii="宋体" w:hAnsi="宋体"/>
                <w:bCs/>
                <w:color w:val="FF0000"/>
                <w:sz w:val="21"/>
                <w:szCs w:val="21"/>
                <w:lang w:eastAsia="zh-CN"/>
              </w:rPr>
              <w:t>每次</w:t>
            </w:r>
            <w:r>
              <w:rPr>
                <w:rFonts w:hint="eastAsia" w:ascii="宋体" w:hAnsi="宋体"/>
                <w:bCs/>
                <w:color w:val="FF0000"/>
                <w:sz w:val="21"/>
                <w:szCs w:val="21"/>
              </w:rPr>
              <w:t>扣5</w:t>
            </w:r>
            <w:r>
              <w:rPr>
                <w:rFonts w:hint="eastAsia" w:ascii="宋体" w:hAnsi="宋体"/>
                <w:bCs/>
                <w:color w:val="FF0000"/>
                <w:sz w:val="21"/>
                <w:szCs w:val="21"/>
                <w:lang w:val="en-US" w:eastAsia="zh-CN"/>
              </w:rPr>
              <w:t>秒</w:t>
            </w:r>
          </w:p>
        </w:tc>
        <w:tc>
          <w:tcPr>
            <w:tcW w:w="1050" w:type="dxa"/>
            <w:tcBorders>
              <w:left w:val="nil"/>
              <w:bottom w:val="single" w:color="auto" w:sz="4" w:space="0"/>
              <w:right w:val="single" w:color="auto" w:sz="4" w:space="0"/>
            </w:tcBorders>
            <w:noWrap w:val="0"/>
            <w:vAlign w:val="center"/>
          </w:tcPr>
          <w:p w14:paraId="063DB6AD">
            <w:pPr>
              <w:spacing w:line="400" w:lineRule="exact"/>
              <w:ind w:right="-48"/>
              <w:jc w:val="center"/>
              <w:rPr>
                <w:rFonts w:hint="eastAsia" w:ascii="宋体" w:hAnsi="宋体"/>
                <w:bCs/>
                <w:color w:val="FF0000"/>
                <w:sz w:val="21"/>
                <w:szCs w:val="21"/>
              </w:rPr>
            </w:pPr>
          </w:p>
        </w:tc>
        <w:tc>
          <w:tcPr>
            <w:tcW w:w="768" w:type="dxa"/>
            <w:tcBorders>
              <w:left w:val="nil"/>
              <w:bottom w:val="single" w:color="auto" w:sz="4" w:space="0"/>
              <w:right w:val="single" w:color="auto" w:sz="4" w:space="0"/>
            </w:tcBorders>
            <w:noWrap w:val="0"/>
            <w:vAlign w:val="center"/>
          </w:tcPr>
          <w:p w14:paraId="591DA911">
            <w:pPr>
              <w:spacing w:line="400" w:lineRule="exact"/>
              <w:ind w:left="-214" w:leftChars="-102" w:right="-48"/>
              <w:jc w:val="center"/>
              <w:rPr>
                <w:rFonts w:hint="eastAsia" w:ascii="宋体" w:hAnsi="宋体"/>
                <w:bCs/>
                <w:color w:val="FF0000"/>
                <w:sz w:val="21"/>
                <w:szCs w:val="21"/>
              </w:rPr>
            </w:pPr>
          </w:p>
        </w:tc>
      </w:tr>
      <w:tr w14:paraId="18144F0D">
        <w:tblPrEx>
          <w:tblCellMar>
            <w:top w:w="0" w:type="dxa"/>
            <w:left w:w="108" w:type="dxa"/>
            <w:bottom w:w="0" w:type="dxa"/>
            <w:right w:w="108" w:type="dxa"/>
          </w:tblCellMar>
        </w:tblPrEx>
        <w:trPr>
          <w:trHeight w:val="411" w:hRule="atLeast"/>
        </w:trPr>
        <w:tc>
          <w:tcPr>
            <w:tcW w:w="7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DF28C8">
            <w:pPr>
              <w:spacing w:line="400" w:lineRule="exact"/>
              <w:ind w:right="-48" w:rightChars="0"/>
              <w:jc w:val="center"/>
              <w:rPr>
                <w:rFonts w:hint="eastAsia" w:ascii="宋体" w:hAnsi="宋体" w:eastAsiaTheme="minorEastAsia"/>
                <w:bCs/>
                <w:color w:val="FF0000"/>
                <w:sz w:val="21"/>
                <w:szCs w:val="21"/>
                <w:lang w:val="en-US" w:eastAsia="zh-CN"/>
              </w:rPr>
            </w:pPr>
            <w:r>
              <w:rPr>
                <w:rFonts w:hint="eastAsia" w:ascii="宋体" w:hAnsi="宋体"/>
                <w:bCs/>
                <w:color w:val="FF0000"/>
                <w:sz w:val="21"/>
                <w:szCs w:val="21"/>
                <w:lang w:val="en-US" w:eastAsia="zh-CN"/>
              </w:rPr>
              <w:t>5</w:t>
            </w:r>
          </w:p>
        </w:tc>
        <w:tc>
          <w:tcPr>
            <w:tcW w:w="4109" w:type="dxa"/>
            <w:gridSpan w:val="7"/>
            <w:tcBorders>
              <w:top w:val="single" w:color="auto" w:sz="4" w:space="0"/>
              <w:left w:val="single" w:color="auto" w:sz="4" w:space="0"/>
              <w:bottom w:val="single" w:color="auto" w:sz="4" w:space="0"/>
              <w:right w:val="single" w:color="auto" w:sz="4" w:space="0"/>
            </w:tcBorders>
            <w:noWrap w:val="0"/>
            <w:vAlign w:val="center"/>
          </w:tcPr>
          <w:p w14:paraId="4F7778C3">
            <w:pPr>
              <w:spacing w:line="400" w:lineRule="exact"/>
              <w:ind w:right="-48"/>
              <w:rPr>
                <w:rFonts w:hint="eastAsia" w:ascii="宋体" w:hAnsi="宋体" w:eastAsiaTheme="minorEastAsia"/>
                <w:bCs/>
                <w:color w:val="FF0000"/>
                <w:sz w:val="21"/>
                <w:szCs w:val="21"/>
                <w:lang w:eastAsia="zh-CN"/>
              </w:rPr>
            </w:pPr>
            <w:r>
              <w:rPr>
                <w:rFonts w:hint="eastAsia" w:ascii="宋体" w:hAnsi="宋体"/>
                <w:bCs/>
                <w:color w:val="FF0000"/>
                <w:sz w:val="21"/>
                <w:szCs w:val="21"/>
              </w:rPr>
              <w:t>行车中</w:t>
            </w:r>
            <w:r>
              <w:rPr>
                <w:rFonts w:hint="eastAsia" w:ascii="宋体" w:hAnsi="宋体"/>
                <w:bCs/>
                <w:color w:val="FF0000"/>
                <w:sz w:val="21"/>
                <w:szCs w:val="21"/>
                <w:lang w:eastAsia="zh-CN"/>
              </w:rPr>
              <w:t>需要转向行驶未提前打转向</w:t>
            </w:r>
          </w:p>
        </w:tc>
        <w:tc>
          <w:tcPr>
            <w:tcW w:w="2479" w:type="dxa"/>
            <w:gridSpan w:val="3"/>
            <w:tcBorders>
              <w:top w:val="single" w:color="auto" w:sz="4" w:space="0"/>
              <w:left w:val="single" w:color="auto" w:sz="4" w:space="0"/>
              <w:bottom w:val="single" w:color="000000" w:sz="4" w:space="0"/>
              <w:right w:val="single" w:color="auto" w:sz="4" w:space="0"/>
            </w:tcBorders>
            <w:noWrap w:val="0"/>
            <w:vAlign w:val="center"/>
          </w:tcPr>
          <w:p w14:paraId="0D766C5D">
            <w:pPr>
              <w:spacing w:line="400" w:lineRule="exact"/>
              <w:ind w:right="-48"/>
              <w:rPr>
                <w:rFonts w:hint="eastAsia" w:ascii="宋体" w:hAnsi="宋体"/>
                <w:bCs/>
                <w:color w:val="FF0000"/>
                <w:sz w:val="21"/>
                <w:szCs w:val="21"/>
              </w:rPr>
            </w:pPr>
            <w:r>
              <w:rPr>
                <w:rFonts w:hint="eastAsia" w:ascii="宋体" w:hAnsi="宋体"/>
                <w:bCs/>
                <w:color w:val="FF0000"/>
                <w:sz w:val="21"/>
                <w:szCs w:val="21"/>
                <w:lang w:eastAsia="zh-CN"/>
              </w:rPr>
              <w:t>每次</w:t>
            </w:r>
            <w:r>
              <w:rPr>
                <w:rFonts w:hint="eastAsia" w:ascii="宋体" w:hAnsi="宋体"/>
                <w:bCs/>
                <w:color w:val="FF0000"/>
                <w:sz w:val="21"/>
                <w:szCs w:val="21"/>
              </w:rPr>
              <w:t>扣</w:t>
            </w:r>
            <w:r>
              <w:rPr>
                <w:rFonts w:hint="eastAsia" w:ascii="宋体" w:hAnsi="宋体"/>
                <w:bCs/>
                <w:color w:val="FF0000"/>
                <w:sz w:val="21"/>
                <w:szCs w:val="21"/>
                <w:lang w:val="en-US" w:eastAsia="zh-CN"/>
              </w:rPr>
              <w:t>10秒</w:t>
            </w:r>
          </w:p>
        </w:tc>
        <w:tc>
          <w:tcPr>
            <w:tcW w:w="1050" w:type="dxa"/>
            <w:tcBorders>
              <w:left w:val="nil"/>
              <w:bottom w:val="single" w:color="auto" w:sz="4" w:space="0"/>
              <w:right w:val="single" w:color="auto" w:sz="4" w:space="0"/>
            </w:tcBorders>
            <w:noWrap w:val="0"/>
            <w:vAlign w:val="center"/>
          </w:tcPr>
          <w:p w14:paraId="14C91ECA">
            <w:pPr>
              <w:spacing w:line="400" w:lineRule="exact"/>
              <w:ind w:right="-48"/>
              <w:jc w:val="center"/>
              <w:rPr>
                <w:rFonts w:hint="eastAsia" w:ascii="宋体" w:hAnsi="宋体"/>
                <w:bCs/>
                <w:color w:val="FF0000"/>
                <w:sz w:val="21"/>
                <w:szCs w:val="21"/>
              </w:rPr>
            </w:pPr>
          </w:p>
        </w:tc>
        <w:tc>
          <w:tcPr>
            <w:tcW w:w="768" w:type="dxa"/>
            <w:tcBorders>
              <w:left w:val="nil"/>
              <w:bottom w:val="single" w:color="auto" w:sz="4" w:space="0"/>
              <w:right w:val="single" w:color="auto" w:sz="4" w:space="0"/>
            </w:tcBorders>
            <w:noWrap w:val="0"/>
            <w:vAlign w:val="center"/>
          </w:tcPr>
          <w:p w14:paraId="33B9A08F">
            <w:pPr>
              <w:spacing w:line="400" w:lineRule="exact"/>
              <w:ind w:left="-214" w:leftChars="-102" w:right="-48"/>
              <w:jc w:val="center"/>
              <w:rPr>
                <w:rFonts w:hint="eastAsia" w:ascii="宋体" w:hAnsi="宋体"/>
                <w:bCs/>
                <w:color w:val="FF0000"/>
                <w:sz w:val="21"/>
                <w:szCs w:val="21"/>
              </w:rPr>
            </w:pPr>
          </w:p>
        </w:tc>
      </w:tr>
      <w:tr w14:paraId="6BCD430D">
        <w:tblPrEx>
          <w:tblCellMar>
            <w:top w:w="0" w:type="dxa"/>
            <w:left w:w="108" w:type="dxa"/>
            <w:bottom w:w="0" w:type="dxa"/>
            <w:right w:w="108" w:type="dxa"/>
          </w:tblCellMar>
        </w:tblPrEx>
        <w:trPr>
          <w:trHeight w:val="411" w:hRule="atLeast"/>
        </w:trPr>
        <w:tc>
          <w:tcPr>
            <w:tcW w:w="7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5BAA83">
            <w:pPr>
              <w:spacing w:line="400" w:lineRule="exact"/>
              <w:ind w:right="-48" w:rightChars="0"/>
              <w:jc w:val="center"/>
              <w:rPr>
                <w:rFonts w:hint="eastAsia" w:ascii="宋体" w:hAnsi="宋体" w:eastAsiaTheme="minorEastAsia" w:cstheme="minorBidi"/>
                <w:bCs/>
                <w:color w:val="FF0000"/>
                <w:kern w:val="2"/>
                <w:sz w:val="21"/>
                <w:szCs w:val="21"/>
                <w:lang w:val="en-US" w:eastAsia="zh-CN" w:bidi="ar-SA"/>
              </w:rPr>
            </w:pPr>
            <w:r>
              <w:rPr>
                <w:rFonts w:hint="eastAsia" w:ascii="宋体" w:hAnsi="宋体"/>
                <w:bCs/>
                <w:color w:val="FF0000"/>
                <w:sz w:val="21"/>
                <w:szCs w:val="21"/>
                <w:lang w:val="en-US" w:eastAsia="zh-CN"/>
              </w:rPr>
              <w:t>6</w:t>
            </w:r>
          </w:p>
        </w:tc>
        <w:tc>
          <w:tcPr>
            <w:tcW w:w="4109" w:type="dxa"/>
            <w:gridSpan w:val="7"/>
            <w:tcBorders>
              <w:top w:val="single" w:color="auto" w:sz="4" w:space="0"/>
              <w:left w:val="single" w:color="auto" w:sz="4" w:space="0"/>
              <w:bottom w:val="single" w:color="auto" w:sz="4" w:space="0"/>
              <w:right w:val="single" w:color="auto" w:sz="4" w:space="0"/>
            </w:tcBorders>
            <w:noWrap w:val="0"/>
            <w:vAlign w:val="center"/>
          </w:tcPr>
          <w:p w14:paraId="46F630BA">
            <w:pPr>
              <w:spacing w:line="400" w:lineRule="exact"/>
              <w:ind w:right="-48"/>
              <w:rPr>
                <w:rFonts w:hint="eastAsia" w:ascii="宋体" w:hAnsi="宋体"/>
                <w:bCs/>
                <w:color w:val="FF0000"/>
                <w:sz w:val="21"/>
                <w:szCs w:val="21"/>
              </w:rPr>
            </w:pPr>
            <w:r>
              <w:rPr>
                <w:rFonts w:hint="eastAsia" w:ascii="宋体" w:hAnsi="宋体"/>
                <w:bCs/>
                <w:color w:val="FF0000"/>
                <w:sz w:val="21"/>
                <w:szCs w:val="21"/>
              </w:rPr>
              <w:t>倒车不回头观望</w:t>
            </w:r>
          </w:p>
        </w:tc>
        <w:tc>
          <w:tcPr>
            <w:tcW w:w="2479" w:type="dxa"/>
            <w:gridSpan w:val="3"/>
            <w:tcBorders>
              <w:top w:val="single" w:color="auto" w:sz="4" w:space="0"/>
              <w:left w:val="single" w:color="auto" w:sz="4" w:space="0"/>
              <w:bottom w:val="single" w:color="000000" w:sz="4" w:space="0"/>
              <w:right w:val="single" w:color="auto" w:sz="4" w:space="0"/>
            </w:tcBorders>
            <w:noWrap w:val="0"/>
            <w:vAlign w:val="center"/>
          </w:tcPr>
          <w:p w14:paraId="481723EA">
            <w:pPr>
              <w:spacing w:line="400" w:lineRule="exact"/>
              <w:ind w:right="-48"/>
              <w:rPr>
                <w:rFonts w:hint="eastAsia" w:ascii="宋体" w:hAnsi="宋体"/>
                <w:bCs/>
                <w:color w:val="FF0000"/>
                <w:sz w:val="21"/>
                <w:szCs w:val="21"/>
              </w:rPr>
            </w:pPr>
            <w:r>
              <w:rPr>
                <w:rFonts w:hint="eastAsia" w:ascii="宋体" w:hAnsi="宋体"/>
                <w:bCs/>
                <w:color w:val="FF0000"/>
                <w:sz w:val="21"/>
                <w:szCs w:val="21"/>
              </w:rPr>
              <w:t>每次扣</w:t>
            </w:r>
            <w:r>
              <w:rPr>
                <w:rFonts w:hint="eastAsia" w:ascii="宋体" w:hAnsi="宋体"/>
                <w:bCs/>
                <w:color w:val="FF0000"/>
                <w:sz w:val="21"/>
                <w:szCs w:val="21"/>
                <w:lang w:val="en-US" w:eastAsia="zh-CN"/>
              </w:rPr>
              <w:t>5秒</w:t>
            </w:r>
          </w:p>
        </w:tc>
        <w:tc>
          <w:tcPr>
            <w:tcW w:w="1050" w:type="dxa"/>
            <w:tcBorders>
              <w:left w:val="nil"/>
              <w:bottom w:val="single" w:color="auto" w:sz="4" w:space="0"/>
              <w:right w:val="single" w:color="auto" w:sz="4" w:space="0"/>
            </w:tcBorders>
            <w:noWrap w:val="0"/>
            <w:vAlign w:val="center"/>
          </w:tcPr>
          <w:p w14:paraId="08393125">
            <w:pPr>
              <w:spacing w:line="400" w:lineRule="exact"/>
              <w:ind w:right="-48"/>
              <w:jc w:val="center"/>
              <w:rPr>
                <w:rFonts w:hint="eastAsia" w:ascii="宋体" w:hAnsi="宋体"/>
                <w:bCs/>
                <w:color w:val="FF0000"/>
                <w:sz w:val="21"/>
                <w:szCs w:val="21"/>
              </w:rPr>
            </w:pPr>
          </w:p>
        </w:tc>
        <w:tc>
          <w:tcPr>
            <w:tcW w:w="768" w:type="dxa"/>
            <w:tcBorders>
              <w:left w:val="nil"/>
              <w:bottom w:val="single" w:color="auto" w:sz="4" w:space="0"/>
              <w:right w:val="single" w:color="auto" w:sz="4" w:space="0"/>
            </w:tcBorders>
            <w:noWrap w:val="0"/>
            <w:vAlign w:val="center"/>
          </w:tcPr>
          <w:p w14:paraId="5B9A8637">
            <w:pPr>
              <w:spacing w:line="400" w:lineRule="exact"/>
              <w:ind w:left="-214" w:leftChars="-102" w:right="-48"/>
              <w:jc w:val="center"/>
              <w:rPr>
                <w:rFonts w:hint="eastAsia" w:ascii="宋体" w:hAnsi="宋体"/>
                <w:bCs/>
                <w:color w:val="FF0000"/>
                <w:sz w:val="21"/>
                <w:szCs w:val="21"/>
              </w:rPr>
            </w:pPr>
          </w:p>
        </w:tc>
      </w:tr>
      <w:tr w14:paraId="7A8136E3">
        <w:tblPrEx>
          <w:tblCellMar>
            <w:top w:w="0" w:type="dxa"/>
            <w:left w:w="108" w:type="dxa"/>
            <w:bottom w:w="0" w:type="dxa"/>
            <w:right w:w="108" w:type="dxa"/>
          </w:tblCellMar>
        </w:tblPrEx>
        <w:trPr>
          <w:trHeight w:val="411" w:hRule="atLeast"/>
        </w:trPr>
        <w:tc>
          <w:tcPr>
            <w:tcW w:w="7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D4CAD1">
            <w:pPr>
              <w:spacing w:line="400" w:lineRule="exact"/>
              <w:ind w:right="-48" w:rightChars="0"/>
              <w:jc w:val="center"/>
              <w:rPr>
                <w:rFonts w:hint="eastAsia" w:ascii="宋体" w:hAnsi="宋体" w:eastAsiaTheme="minorEastAsia"/>
                <w:bCs/>
                <w:color w:val="FF0000"/>
                <w:sz w:val="21"/>
                <w:szCs w:val="21"/>
                <w:lang w:val="en-US" w:eastAsia="zh-CN"/>
              </w:rPr>
            </w:pPr>
            <w:r>
              <w:rPr>
                <w:rFonts w:hint="eastAsia" w:ascii="宋体" w:hAnsi="宋体"/>
                <w:bCs/>
                <w:color w:val="FF0000"/>
                <w:sz w:val="21"/>
                <w:szCs w:val="21"/>
                <w:lang w:val="en-US" w:eastAsia="zh-CN"/>
              </w:rPr>
              <w:t>7</w:t>
            </w:r>
          </w:p>
        </w:tc>
        <w:tc>
          <w:tcPr>
            <w:tcW w:w="4109" w:type="dxa"/>
            <w:gridSpan w:val="7"/>
            <w:tcBorders>
              <w:top w:val="single" w:color="auto" w:sz="4" w:space="0"/>
              <w:left w:val="single" w:color="auto" w:sz="4" w:space="0"/>
              <w:bottom w:val="single" w:color="auto" w:sz="4" w:space="0"/>
              <w:right w:val="single" w:color="auto" w:sz="4" w:space="0"/>
            </w:tcBorders>
            <w:noWrap w:val="0"/>
            <w:vAlign w:val="center"/>
          </w:tcPr>
          <w:p w14:paraId="72FF02A2">
            <w:pPr>
              <w:spacing w:line="400" w:lineRule="exact"/>
              <w:ind w:right="-48"/>
              <w:rPr>
                <w:rFonts w:hint="eastAsia" w:ascii="宋体" w:hAnsi="宋体"/>
                <w:bCs/>
                <w:color w:val="FF0000"/>
                <w:sz w:val="21"/>
                <w:szCs w:val="21"/>
              </w:rPr>
            </w:pPr>
            <w:r>
              <w:rPr>
                <w:rFonts w:hint="eastAsia" w:ascii="宋体" w:hAnsi="宋体"/>
                <w:bCs/>
                <w:color w:val="FF0000"/>
                <w:sz w:val="21"/>
                <w:szCs w:val="21"/>
              </w:rPr>
              <w:t>倒车</w:t>
            </w:r>
            <w:r>
              <w:rPr>
                <w:rFonts w:hint="eastAsia" w:ascii="宋体" w:hAnsi="宋体"/>
                <w:bCs/>
                <w:color w:val="FF0000"/>
                <w:sz w:val="21"/>
                <w:szCs w:val="21"/>
                <w:lang w:eastAsia="zh-CN"/>
              </w:rPr>
              <w:t>转向行驶时，未打转向</w:t>
            </w:r>
          </w:p>
        </w:tc>
        <w:tc>
          <w:tcPr>
            <w:tcW w:w="2479" w:type="dxa"/>
            <w:gridSpan w:val="3"/>
            <w:tcBorders>
              <w:top w:val="single" w:color="auto" w:sz="4" w:space="0"/>
              <w:left w:val="single" w:color="auto" w:sz="4" w:space="0"/>
              <w:bottom w:val="single" w:color="000000" w:sz="4" w:space="0"/>
              <w:right w:val="single" w:color="auto" w:sz="4" w:space="0"/>
            </w:tcBorders>
            <w:noWrap w:val="0"/>
            <w:vAlign w:val="center"/>
          </w:tcPr>
          <w:p w14:paraId="3C1189AA">
            <w:pPr>
              <w:spacing w:line="400" w:lineRule="exact"/>
              <w:ind w:right="-48"/>
              <w:rPr>
                <w:rFonts w:hint="eastAsia" w:ascii="宋体" w:hAnsi="宋体"/>
                <w:bCs/>
                <w:color w:val="FF0000"/>
                <w:sz w:val="21"/>
                <w:szCs w:val="21"/>
              </w:rPr>
            </w:pPr>
            <w:r>
              <w:rPr>
                <w:rFonts w:hint="eastAsia" w:ascii="宋体" w:hAnsi="宋体"/>
                <w:bCs/>
                <w:color w:val="FF0000"/>
                <w:sz w:val="21"/>
                <w:szCs w:val="21"/>
              </w:rPr>
              <w:t>每次扣</w:t>
            </w:r>
            <w:r>
              <w:rPr>
                <w:rFonts w:hint="eastAsia" w:ascii="宋体" w:hAnsi="宋体"/>
                <w:bCs/>
                <w:color w:val="FF0000"/>
                <w:sz w:val="21"/>
                <w:szCs w:val="21"/>
                <w:lang w:val="en-US" w:eastAsia="zh-CN"/>
              </w:rPr>
              <w:t>10秒</w:t>
            </w:r>
          </w:p>
        </w:tc>
        <w:tc>
          <w:tcPr>
            <w:tcW w:w="1050" w:type="dxa"/>
            <w:tcBorders>
              <w:left w:val="nil"/>
              <w:bottom w:val="single" w:color="auto" w:sz="4" w:space="0"/>
              <w:right w:val="single" w:color="auto" w:sz="4" w:space="0"/>
            </w:tcBorders>
            <w:noWrap w:val="0"/>
            <w:vAlign w:val="center"/>
          </w:tcPr>
          <w:p w14:paraId="4EF08D04">
            <w:pPr>
              <w:spacing w:line="400" w:lineRule="exact"/>
              <w:ind w:right="-48"/>
              <w:jc w:val="center"/>
              <w:rPr>
                <w:rFonts w:hint="eastAsia" w:ascii="宋体" w:hAnsi="宋体"/>
                <w:bCs/>
                <w:color w:val="FF0000"/>
                <w:sz w:val="21"/>
                <w:szCs w:val="21"/>
              </w:rPr>
            </w:pPr>
          </w:p>
        </w:tc>
        <w:tc>
          <w:tcPr>
            <w:tcW w:w="768" w:type="dxa"/>
            <w:tcBorders>
              <w:left w:val="nil"/>
              <w:bottom w:val="single" w:color="auto" w:sz="4" w:space="0"/>
              <w:right w:val="single" w:color="auto" w:sz="4" w:space="0"/>
            </w:tcBorders>
            <w:noWrap w:val="0"/>
            <w:vAlign w:val="center"/>
          </w:tcPr>
          <w:p w14:paraId="18B9F26C">
            <w:pPr>
              <w:spacing w:line="400" w:lineRule="exact"/>
              <w:ind w:left="-214" w:leftChars="-102" w:right="-48"/>
              <w:jc w:val="center"/>
              <w:rPr>
                <w:rFonts w:hint="eastAsia" w:ascii="宋体" w:hAnsi="宋体"/>
                <w:bCs/>
                <w:color w:val="FF0000"/>
                <w:sz w:val="21"/>
                <w:szCs w:val="21"/>
              </w:rPr>
            </w:pPr>
          </w:p>
        </w:tc>
      </w:tr>
      <w:tr w14:paraId="772D0553">
        <w:tblPrEx>
          <w:tblCellMar>
            <w:top w:w="0" w:type="dxa"/>
            <w:left w:w="108" w:type="dxa"/>
            <w:bottom w:w="0" w:type="dxa"/>
            <w:right w:w="108" w:type="dxa"/>
          </w:tblCellMar>
        </w:tblPrEx>
        <w:trPr>
          <w:trHeight w:val="411" w:hRule="atLeast"/>
        </w:trPr>
        <w:tc>
          <w:tcPr>
            <w:tcW w:w="7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FE67C7">
            <w:pPr>
              <w:spacing w:line="400" w:lineRule="exact"/>
              <w:ind w:right="-48" w:rightChars="0"/>
              <w:jc w:val="center"/>
              <w:rPr>
                <w:rFonts w:hint="eastAsia" w:ascii="宋体" w:hAnsi="宋体" w:eastAsiaTheme="minorEastAsia" w:cstheme="minorBidi"/>
                <w:bCs/>
                <w:color w:val="FF0000"/>
                <w:kern w:val="2"/>
                <w:sz w:val="21"/>
                <w:szCs w:val="21"/>
                <w:lang w:val="en-US" w:eastAsia="zh-CN" w:bidi="ar-SA"/>
              </w:rPr>
            </w:pPr>
            <w:r>
              <w:rPr>
                <w:rFonts w:hint="eastAsia" w:ascii="宋体" w:hAnsi="宋体"/>
                <w:bCs/>
                <w:color w:val="FF0000"/>
                <w:sz w:val="21"/>
                <w:szCs w:val="21"/>
                <w:lang w:val="en-US" w:eastAsia="zh-CN"/>
              </w:rPr>
              <w:t>8</w:t>
            </w:r>
          </w:p>
        </w:tc>
        <w:tc>
          <w:tcPr>
            <w:tcW w:w="4109" w:type="dxa"/>
            <w:gridSpan w:val="7"/>
            <w:tcBorders>
              <w:top w:val="single" w:color="auto" w:sz="4" w:space="0"/>
              <w:left w:val="single" w:color="auto" w:sz="4" w:space="0"/>
              <w:bottom w:val="single" w:color="auto" w:sz="4" w:space="0"/>
              <w:right w:val="single" w:color="auto" w:sz="4" w:space="0"/>
            </w:tcBorders>
            <w:noWrap w:val="0"/>
            <w:vAlign w:val="center"/>
          </w:tcPr>
          <w:p w14:paraId="799F22C1">
            <w:pPr>
              <w:spacing w:line="400" w:lineRule="exact"/>
              <w:ind w:right="-48"/>
              <w:rPr>
                <w:rFonts w:ascii="宋体" w:hAnsi="宋体"/>
                <w:bCs/>
                <w:color w:val="FF0000"/>
                <w:sz w:val="21"/>
                <w:szCs w:val="21"/>
              </w:rPr>
            </w:pPr>
            <w:r>
              <w:rPr>
                <w:rFonts w:hint="eastAsia" w:ascii="宋体" w:hAnsi="宋体"/>
                <w:bCs/>
                <w:color w:val="FF0000"/>
                <w:sz w:val="21"/>
                <w:szCs w:val="21"/>
              </w:rPr>
              <w:t>操作过程中发动机熄火（非系统故障原因）</w:t>
            </w:r>
          </w:p>
        </w:tc>
        <w:tc>
          <w:tcPr>
            <w:tcW w:w="2479" w:type="dxa"/>
            <w:gridSpan w:val="3"/>
            <w:tcBorders>
              <w:top w:val="single" w:color="auto" w:sz="4" w:space="0"/>
              <w:left w:val="single" w:color="auto" w:sz="4" w:space="0"/>
              <w:bottom w:val="single" w:color="000000" w:sz="4" w:space="0"/>
              <w:right w:val="single" w:color="auto" w:sz="4" w:space="0"/>
            </w:tcBorders>
            <w:noWrap w:val="0"/>
            <w:vAlign w:val="center"/>
          </w:tcPr>
          <w:p w14:paraId="7DB0B382">
            <w:pPr>
              <w:spacing w:line="400" w:lineRule="exact"/>
              <w:ind w:right="-48"/>
              <w:rPr>
                <w:rFonts w:ascii="宋体" w:hAnsi="宋体"/>
                <w:bCs/>
                <w:color w:val="FF0000"/>
                <w:sz w:val="21"/>
                <w:szCs w:val="21"/>
              </w:rPr>
            </w:pPr>
            <w:r>
              <w:rPr>
                <w:rFonts w:hint="eastAsia" w:ascii="宋体" w:hAnsi="宋体"/>
                <w:bCs/>
                <w:color w:val="FF0000"/>
                <w:sz w:val="21"/>
                <w:szCs w:val="21"/>
              </w:rPr>
              <w:t>每次扣5</w:t>
            </w:r>
            <w:r>
              <w:rPr>
                <w:rFonts w:hint="eastAsia" w:ascii="宋体" w:hAnsi="宋体"/>
                <w:bCs/>
                <w:color w:val="FF0000"/>
                <w:sz w:val="21"/>
                <w:szCs w:val="21"/>
                <w:lang w:val="en-US" w:eastAsia="zh-CN"/>
              </w:rPr>
              <w:t>秒</w:t>
            </w:r>
          </w:p>
        </w:tc>
        <w:tc>
          <w:tcPr>
            <w:tcW w:w="1050" w:type="dxa"/>
            <w:tcBorders>
              <w:left w:val="nil"/>
              <w:bottom w:val="single" w:color="auto" w:sz="4" w:space="0"/>
              <w:right w:val="single" w:color="auto" w:sz="4" w:space="0"/>
            </w:tcBorders>
            <w:noWrap w:val="0"/>
            <w:vAlign w:val="center"/>
          </w:tcPr>
          <w:p w14:paraId="1354BBCD">
            <w:pPr>
              <w:spacing w:line="400" w:lineRule="exact"/>
              <w:ind w:right="-48"/>
              <w:jc w:val="center"/>
              <w:rPr>
                <w:rFonts w:hint="eastAsia" w:ascii="宋体" w:hAnsi="宋体"/>
                <w:bCs/>
                <w:color w:val="FF0000"/>
                <w:sz w:val="21"/>
                <w:szCs w:val="21"/>
              </w:rPr>
            </w:pPr>
          </w:p>
        </w:tc>
        <w:tc>
          <w:tcPr>
            <w:tcW w:w="768" w:type="dxa"/>
            <w:tcBorders>
              <w:left w:val="nil"/>
              <w:bottom w:val="single" w:color="auto" w:sz="4" w:space="0"/>
              <w:right w:val="single" w:color="auto" w:sz="4" w:space="0"/>
            </w:tcBorders>
            <w:noWrap w:val="0"/>
            <w:vAlign w:val="center"/>
          </w:tcPr>
          <w:p w14:paraId="54A7E8D9">
            <w:pPr>
              <w:spacing w:line="400" w:lineRule="exact"/>
              <w:ind w:left="-214" w:leftChars="-102" w:right="-48"/>
              <w:jc w:val="center"/>
              <w:rPr>
                <w:rFonts w:hint="eastAsia" w:ascii="宋体" w:hAnsi="宋体"/>
                <w:bCs/>
                <w:color w:val="FF0000"/>
                <w:sz w:val="21"/>
                <w:szCs w:val="21"/>
              </w:rPr>
            </w:pPr>
          </w:p>
        </w:tc>
      </w:tr>
      <w:tr w14:paraId="4E70AC9A">
        <w:tblPrEx>
          <w:tblCellMar>
            <w:top w:w="0" w:type="dxa"/>
            <w:left w:w="108" w:type="dxa"/>
            <w:bottom w:w="0" w:type="dxa"/>
            <w:right w:w="108" w:type="dxa"/>
          </w:tblCellMar>
        </w:tblPrEx>
        <w:trPr>
          <w:trHeight w:val="411" w:hRule="atLeast"/>
        </w:trPr>
        <w:tc>
          <w:tcPr>
            <w:tcW w:w="7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71D451">
            <w:pPr>
              <w:spacing w:line="400" w:lineRule="exact"/>
              <w:ind w:right="-48" w:rightChars="0"/>
              <w:jc w:val="center"/>
              <w:rPr>
                <w:rFonts w:hint="eastAsia" w:ascii="宋体" w:hAnsi="宋体" w:eastAsiaTheme="minorEastAsia" w:cstheme="minorBidi"/>
                <w:bCs/>
                <w:color w:val="FF0000"/>
                <w:kern w:val="2"/>
                <w:sz w:val="21"/>
                <w:szCs w:val="21"/>
                <w:lang w:val="en-US" w:eastAsia="zh-CN" w:bidi="ar-SA"/>
              </w:rPr>
            </w:pPr>
            <w:r>
              <w:rPr>
                <w:rFonts w:hint="eastAsia" w:ascii="宋体" w:hAnsi="宋体"/>
                <w:bCs/>
                <w:color w:val="FF0000"/>
                <w:sz w:val="21"/>
                <w:szCs w:val="21"/>
                <w:lang w:val="en-US" w:eastAsia="zh-CN"/>
              </w:rPr>
              <w:t>9</w:t>
            </w:r>
          </w:p>
        </w:tc>
        <w:tc>
          <w:tcPr>
            <w:tcW w:w="4109" w:type="dxa"/>
            <w:gridSpan w:val="7"/>
            <w:tcBorders>
              <w:top w:val="single" w:color="auto" w:sz="4" w:space="0"/>
              <w:left w:val="single" w:color="auto" w:sz="4" w:space="0"/>
              <w:bottom w:val="single" w:color="auto" w:sz="4" w:space="0"/>
              <w:right w:val="single" w:color="auto" w:sz="4" w:space="0"/>
            </w:tcBorders>
            <w:noWrap w:val="0"/>
            <w:vAlign w:val="center"/>
          </w:tcPr>
          <w:p w14:paraId="75A21126">
            <w:pPr>
              <w:spacing w:line="400" w:lineRule="exact"/>
              <w:ind w:right="-48"/>
              <w:rPr>
                <w:rFonts w:ascii="宋体" w:hAnsi="宋体"/>
                <w:bCs/>
                <w:color w:val="FF0000"/>
                <w:sz w:val="21"/>
                <w:szCs w:val="21"/>
              </w:rPr>
            </w:pPr>
            <w:r>
              <w:rPr>
                <w:rFonts w:hint="eastAsia" w:ascii="宋体" w:hAnsi="宋体"/>
                <w:bCs/>
                <w:color w:val="FF0000"/>
                <w:sz w:val="21"/>
                <w:szCs w:val="21"/>
              </w:rPr>
              <w:t>行驶中车辆任何部分出线或碰杆</w:t>
            </w:r>
          </w:p>
        </w:tc>
        <w:tc>
          <w:tcPr>
            <w:tcW w:w="2479" w:type="dxa"/>
            <w:gridSpan w:val="3"/>
            <w:tcBorders>
              <w:top w:val="single" w:color="auto" w:sz="4" w:space="0"/>
              <w:left w:val="single" w:color="auto" w:sz="4" w:space="0"/>
              <w:bottom w:val="single" w:color="000000" w:sz="4" w:space="0"/>
              <w:right w:val="single" w:color="auto" w:sz="4" w:space="0"/>
            </w:tcBorders>
            <w:noWrap w:val="0"/>
            <w:vAlign w:val="center"/>
          </w:tcPr>
          <w:p w14:paraId="7B8A44C3">
            <w:pPr>
              <w:spacing w:line="400" w:lineRule="exact"/>
              <w:ind w:right="-48"/>
              <w:rPr>
                <w:rFonts w:ascii="宋体" w:hAnsi="宋体"/>
                <w:bCs/>
                <w:color w:val="FF0000"/>
                <w:sz w:val="21"/>
                <w:szCs w:val="21"/>
              </w:rPr>
            </w:pPr>
            <w:r>
              <w:rPr>
                <w:rFonts w:hint="eastAsia" w:ascii="宋体" w:hAnsi="宋体"/>
                <w:bCs/>
                <w:color w:val="FF0000"/>
                <w:sz w:val="21"/>
                <w:szCs w:val="21"/>
              </w:rPr>
              <w:t>每次扣5</w:t>
            </w:r>
            <w:r>
              <w:rPr>
                <w:rFonts w:hint="eastAsia" w:ascii="宋体" w:hAnsi="宋体"/>
                <w:bCs/>
                <w:color w:val="FF0000"/>
                <w:sz w:val="21"/>
                <w:szCs w:val="21"/>
                <w:lang w:val="en-US" w:eastAsia="zh-CN"/>
              </w:rPr>
              <w:t>秒</w:t>
            </w:r>
          </w:p>
        </w:tc>
        <w:tc>
          <w:tcPr>
            <w:tcW w:w="1050" w:type="dxa"/>
            <w:tcBorders>
              <w:left w:val="nil"/>
              <w:bottom w:val="single" w:color="auto" w:sz="4" w:space="0"/>
              <w:right w:val="single" w:color="auto" w:sz="4" w:space="0"/>
            </w:tcBorders>
            <w:noWrap w:val="0"/>
            <w:vAlign w:val="center"/>
          </w:tcPr>
          <w:p w14:paraId="06B21BBE">
            <w:pPr>
              <w:spacing w:line="400" w:lineRule="exact"/>
              <w:ind w:right="-48"/>
              <w:jc w:val="center"/>
              <w:rPr>
                <w:rFonts w:hint="eastAsia" w:ascii="宋体" w:hAnsi="宋体"/>
                <w:bCs/>
                <w:color w:val="FF0000"/>
                <w:sz w:val="21"/>
                <w:szCs w:val="21"/>
              </w:rPr>
            </w:pPr>
          </w:p>
        </w:tc>
        <w:tc>
          <w:tcPr>
            <w:tcW w:w="768" w:type="dxa"/>
            <w:tcBorders>
              <w:left w:val="nil"/>
              <w:bottom w:val="single" w:color="auto" w:sz="4" w:space="0"/>
              <w:right w:val="single" w:color="auto" w:sz="4" w:space="0"/>
            </w:tcBorders>
            <w:noWrap w:val="0"/>
            <w:vAlign w:val="center"/>
          </w:tcPr>
          <w:p w14:paraId="71AB0879">
            <w:pPr>
              <w:spacing w:line="400" w:lineRule="exact"/>
              <w:ind w:left="-214" w:leftChars="-102" w:right="-48"/>
              <w:jc w:val="center"/>
              <w:rPr>
                <w:rFonts w:hint="eastAsia" w:ascii="宋体" w:hAnsi="宋体"/>
                <w:bCs/>
                <w:color w:val="FF0000"/>
                <w:sz w:val="21"/>
                <w:szCs w:val="21"/>
              </w:rPr>
            </w:pPr>
          </w:p>
        </w:tc>
      </w:tr>
      <w:tr w14:paraId="40881C5B">
        <w:tblPrEx>
          <w:tblCellMar>
            <w:top w:w="0" w:type="dxa"/>
            <w:left w:w="108" w:type="dxa"/>
            <w:bottom w:w="0" w:type="dxa"/>
            <w:right w:w="108" w:type="dxa"/>
          </w:tblCellMar>
        </w:tblPrEx>
        <w:trPr>
          <w:trHeight w:val="411" w:hRule="atLeast"/>
        </w:trPr>
        <w:tc>
          <w:tcPr>
            <w:tcW w:w="7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C3BFE0">
            <w:pPr>
              <w:spacing w:line="400" w:lineRule="exact"/>
              <w:ind w:right="-48" w:rightChars="0"/>
              <w:jc w:val="center"/>
              <w:rPr>
                <w:rFonts w:hint="default" w:ascii="宋体" w:hAnsi="宋体" w:eastAsiaTheme="minorEastAsia" w:cstheme="minorBidi"/>
                <w:bCs/>
                <w:color w:val="FF0000"/>
                <w:kern w:val="2"/>
                <w:sz w:val="21"/>
                <w:szCs w:val="21"/>
                <w:lang w:val="en-US" w:eastAsia="zh-CN" w:bidi="ar-SA"/>
              </w:rPr>
            </w:pPr>
            <w:r>
              <w:rPr>
                <w:rFonts w:hint="eastAsia" w:ascii="宋体" w:hAnsi="宋体"/>
                <w:bCs/>
                <w:color w:val="FF0000"/>
                <w:sz w:val="21"/>
                <w:szCs w:val="21"/>
                <w:lang w:val="en-US" w:eastAsia="zh-CN"/>
              </w:rPr>
              <w:t>10</w:t>
            </w:r>
          </w:p>
        </w:tc>
        <w:tc>
          <w:tcPr>
            <w:tcW w:w="4109" w:type="dxa"/>
            <w:gridSpan w:val="7"/>
            <w:tcBorders>
              <w:top w:val="single" w:color="auto" w:sz="4" w:space="0"/>
              <w:left w:val="single" w:color="auto" w:sz="4" w:space="0"/>
              <w:bottom w:val="single" w:color="auto" w:sz="4" w:space="0"/>
              <w:right w:val="single" w:color="auto" w:sz="4" w:space="0"/>
            </w:tcBorders>
            <w:noWrap w:val="0"/>
            <w:vAlign w:val="center"/>
          </w:tcPr>
          <w:p w14:paraId="560E1A75">
            <w:pPr>
              <w:spacing w:line="400" w:lineRule="exact"/>
              <w:ind w:right="-48"/>
              <w:rPr>
                <w:rFonts w:hint="eastAsia" w:ascii="宋体" w:hAnsi="宋体"/>
                <w:bCs/>
                <w:color w:val="FF0000"/>
                <w:sz w:val="21"/>
                <w:szCs w:val="21"/>
              </w:rPr>
            </w:pPr>
            <w:r>
              <w:rPr>
                <w:rFonts w:hint="eastAsia" w:ascii="宋体" w:hAnsi="宋体"/>
                <w:bCs/>
                <w:color w:val="FF0000"/>
                <w:sz w:val="21"/>
                <w:szCs w:val="21"/>
              </w:rPr>
              <w:t>叉齿未完全插入托盘</w:t>
            </w:r>
          </w:p>
        </w:tc>
        <w:tc>
          <w:tcPr>
            <w:tcW w:w="2479" w:type="dxa"/>
            <w:gridSpan w:val="3"/>
            <w:tcBorders>
              <w:top w:val="single" w:color="auto" w:sz="4" w:space="0"/>
              <w:left w:val="single" w:color="auto" w:sz="4" w:space="0"/>
              <w:bottom w:val="single" w:color="000000" w:sz="4" w:space="0"/>
              <w:right w:val="single" w:color="auto" w:sz="4" w:space="0"/>
            </w:tcBorders>
            <w:noWrap w:val="0"/>
            <w:vAlign w:val="center"/>
          </w:tcPr>
          <w:p w14:paraId="1162B947">
            <w:pPr>
              <w:spacing w:line="400" w:lineRule="exact"/>
              <w:ind w:right="-48"/>
              <w:rPr>
                <w:rFonts w:ascii="宋体" w:hAnsi="宋体"/>
                <w:bCs/>
                <w:color w:val="FF0000"/>
                <w:sz w:val="21"/>
                <w:szCs w:val="21"/>
              </w:rPr>
            </w:pPr>
            <w:r>
              <w:rPr>
                <w:rFonts w:hint="eastAsia" w:ascii="宋体" w:hAnsi="宋体"/>
                <w:bCs/>
                <w:color w:val="FF0000"/>
                <w:sz w:val="21"/>
                <w:szCs w:val="21"/>
                <w:lang w:eastAsia="zh-CN"/>
              </w:rPr>
              <w:t>每次</w:t>
            </w:r>
            <w:r>
              <w:rPr>
                <w:rFonts w:hint="eastAsia" w:ascii="宋体" w:hAnsi="宋体"/>
                <w:bCs/>
                <w:color w:val="FF0000"/>
                <w:sz w:val="21"/>
                <w:szCs w:val="21"/>
              </w:rPr>
              <w:t>扣</w:t>
            </w:r>
            <w:r>
              <w:rPr>
                <w:rFonts w:hint="eastAsia" w:ascii="宋体" w:hAnsi="宋体"/>
                <w:bCs/>
                <w:color w:val="FF0000"/>
                <w:sz w:val="21"/>
                <w:szCs w:val="21"/>
                <w:lang w:val="en-US" w:eastAsia="zh-CN"/>
              </w:rPr>
              <w:t>5秒</w:t>
            </w:r>
          </w:p>
        </w:tc>
        <w:tc>
          <w:tcPr>
            <w:tcW w:w="1050" w:type="dxa"/>
            <w:tcBorders>
              <w:left w:val="nil"/>
              <w:bottom w:val="single" w:color="auto" w:sz="4" w:space="0"/>
              <w:right w:val="single" w:color="auto" w:sz="4" w:space="0"/>
            </w:tcBorders>
            <w:noWrap w:val="0"/>
            <w:vAlign w:val="center"/>
          </w:tcPr>
          <w:p w14:paraId="1E13EDF0">
            <w:pPr>
              <w:spacing w:line="400" w:lineRule="exact"/>
              <w:ind w:right="-48"/>
              <w:jc w:val="center"/>
              <w:rPr>
                <w:rFonts w:hint="eastAsia" w:ascii="宋体" w:hAnsi="宋体"/>
                <w:bCs/>
                <w:color w:val="FF0000"/>
                <w:sz w:val="21"/>
                <w:szCs w:val="21"/>
              </w:rPr>
            </w:pPr>
          </w:p>
        </w:tc>
        <w:tc>
          <w:tcPr>
            <w:tcW w:w="768" w:type="dxa"/>
            <w:tcBorders>
              <w:left w:val="nil"/>
              <w:bottom w:val="single" w:color="auto" w:sz="4" w:space="0"/>
              <w:right w:val="single" w:color="auto" w:sz="4" w:space="0"/>
            </w:tcBorders>
            <w:noWrap w:val="0"/>
            <w:vAlign w:val="center"/>
          </w:tcPr>
          <w:p w14:paraId="7A5819B2">
            <w:pPr>
              <w:spacing w:line="400" w:lineRule="exact"/>
              <w:ind w:left="-214" w:leftChars="-102" w:right="-48"/>
              <w:jc w:val="center"/>
              <w:rPr>
                <w:rFonts w:hint="eastAsia" w:ascii="宋体" w:hAnsi="宋体"/>
                <w:bCs/>
                <w:color w:val="FF0000"/>
                <w:sz w:val="21"/>
                <w:szCs w:val="21"/>
              </w:rPr>
            </w:pPr>
          </w:p>
        </w:tc>
      </w:tr>
      <w:tr w14:paraId="3C61CCF3">
        <w:tblPrEx>
          <w:tblCellMar>
            <w:top w:w="0" w:type="dxa"/>
            <w:left w:w="108" w:type="dxa"/>
            <w:bottom w:w="0" w:type="dxa"/>
            <w:right w:w="108" w:type="dxa"/>
          </w:tblCellMar>
        </w:tblPrEx>
        <w:trPr>
          <w:trHeight w:val="411" w:hRule="atLeast"/>
        </w:trPr>
        <w:tc>
          <w:tcPr>
            <w:tcW w:w="7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2FD1E5">
            <w:pPr>
              <w:spacing w:line="400" w:lineRule="exact"/>
              <w:ind w:right="-48" w:rightChars="0"/>
              <w:jc w:val="center"/>
              <w:rPr>
                <w:rFonts w:hint="default" w:ascii="宋体" w:hAnsi="宋体" w:eastAsiaTheme="minorEastAsia" w:cstheme="minorBidi"/>
                <w:bCs/>
                <w:color w:val="FF0000"/>
                <w:kern w:val="2"/>
                <w:sz w:val="21"/>
                <w:szCs w:val="21"/>
                <w:lang w:val="en-US" w:eastAsia="zh-CN" w:bidi="ar-SA"/>
              </w:rPr>
            </w:pPr>
            <w:r>
              <w:rPr>
                <w:rFonts w:hint="eastAsia" w:ascii="宋体" w:hAnsi="宋体"/>
                <w:bCs/>
                <w:color w:val="FF0000"/>
                <w:sz w:val="21"/>
                <w:szCs w:val="21"/>
                <w:lang w:val="en-US" w:eastAsia="zh-CN"/>
              </w:rPr>
              <w:t>11</w:t>
            </w:r>
          </w:p>
        </w:tc>
        <w:tc>
          <w:tcPr>
            <w:tcW w:w="4109" w:type="dxa"/>
            <w:gridSpan w:val="7"/>
            <w:tcBorders>
              <w:top w:val="single" w:color="auto" w:sz="4" w:space="0"/>
              <w:left w:val="single" w:color="auto" w:sz="4" w:space="0"/>
              <w:bottom w:val="single" w:color="auto" w:sz="4" w:space="0"/>
              <w:right w:val="single" w:color="auto" w:sz="4" w:space="0"/>
            </w:tcBorders>
            <w:noWrap w:val="0"/>
            <w:vAlign w:val="center"/>
          </w:tcPr>
          <w:p w14:paraId="7877C47F">
            <w:pPr>
              <w:spacing w:line="400" w:lineRule="exact"/>
              <w:ind w:right="-48"/>
              <w:rPr>
                <w:rFonts w:ascii="宋体" w:hAnsi="宋体"/>
                <w:bCs/>
                <w:color w:val="FF0000"/>
                <w:sz w:val="21"/>
                <w:szCs w:val="21"/>
              </w:rPr>
            </w:pPr>
            <w:r>
              <w:rPr>
                <w:rFonts w:hint="eastAsia" w:ascii="宋体" w:hAnsi="宋体"/>
                <w:bCs/>
                <w:color w:val="FF0000"/>
                <w:sz w:val="21"/>
                <w:szCs w:val="21"/>
              </w:rPr>
              <w:t>未按规定路线行驶</w:t>
            </w:r>
          </w:p>
        </w:tc>
        <w:tc>
          <w:tcPr>
            <w:tcW w:w="2479" w:type="dxa"/>
            <w:gridSpan w:val="3"/>
            <w:tcBorders>
              <w:top w:val="single" w:color="auto" w:sz="4" w:space="0"/>
              <w:left w:val="single" w:color="auto" w:sz="4" w:space="0"/>
              <w:bottom w:val="single" w:color="000000" w:sz="4" w:space="0"/>
              <w:right w:val="single" w:color="auto" w:sz="4" w:space="0"/>
            </w:tcBorders>
            <w:noWrap w:val="0"/>
            <w:vAlign w:val="center"/>
          </w:tcPr>
          <w:p w14:paraId="16F0F418">
            <w:pPr>
              <w:spacing w:line="400" w:lineRule="exact"/>
              <w:ind w:right="-48"/>
              <w:rPr>
                <w:rFonts w:ascii="宋体" w:hAnsi="宋体"/>
                <w:bCs/>
                <w:color w:val="FF0000"/>
                <w:sz w:val="21"/>
                <w:szCs w:val="21"/>
              </w:rPr>
            </w:pPr>
            <w:r>
              <w:rPr>
                <w:rFonts w:hint="eastAsia" w:ascii="宋体" w:hAnsi="宋体"/>
                <w:bCs/>
                <w:color w:val="FF0000"/>
                <w:sz w:val="21"/>
                <w:szCs w:val="21"/>
                <w:lang w:eastAsia="zh-CN"/>
              </w:rPr>
              <w:t>回到起点并累计计时</w:t>
            </w:r>
          </w:p>
        </w:tc>
        <w:tc>
          <w:tcPr>
            <w:tcW w:w="1050" w:type="dxa"/>
            <w:tcBorders>
              <w:left w:val="nil"/>
              <w:bottom w:val="single" w:color="auto" w:sz="4" w:space="0"/>
              <w:right w:val="single" w:color="auto" w:sz="4" w:space="0"/>
            </w:tcBorders>
            <w:noWrap w:val="0"/>
            <w:vAlign w:val="center"/>
          </w:tcPr>
          <w:p w14:paraId="69B1C02F">
            <w:pPr>
              <w:spacing w:line="400" w:lineRule="exact"/>
              <w:ind w:right="-48"/>
              <w:jc w:val="center"/>
              <w:rPr>
                <w:rFonts w:hint="eastAsia" w:ascii="宋体" w:hAnsi="宋体"/>
                <w:bCs/>
                <w:color w:val="FF0000"/>
                <w:sz w:val="21"/>
                <w:szCs w:val="21"/>
              </w:rPr>
            </w:pPr>
          </w:p>
        </w:tc>
        <w:tc>
          <w:tcPr>
            <w:tcW w:w="768" w:type="dxa"/>
            <w:tcBorders>
              <w:left w:val="nil"/>
              <w:bottom w:val="single" w:color="auto" w:sz="4" w:space="0"/>
              <w:right w:val="single" w:color="auto" w:sz="4" w:space="0"/>
            </w:tcBorders>
            <w:noWrap w:val="0"/>
            <w:vAlign w:val="center"/>
          </w:tcPr>
          <w:p w14:paraId="1ADD2E07">
            <w:pPr>
              <w:spacing w:line="400" w:lineRule="exact"/>
              <w:ind w:left="-214" w:leftChars="-102" w:right="-48"/>
              <w:jc w:val="center"/>
              <w:rPr>
                <w:rFonts w:hint="eastAsia" w:ascii="宋体" w:hAnsi="宋体"/>
                <w:bCs/>
                <w:color w:val="FF0000"/>
                <w:sz w:val="21"/>
                <w:szCs w:val="21"/>
              </w:rPr>
            </w:pPr>
          </w:p>
        </w:tc>
      </w:tr>
      <w:tr w14:paraId="71EF514E">
        <w:tblPrEx>
          <w:tblCellMar>
            <w:top w:w="0" w:type="dxa"/>
            <w:left w:w="108" w:type="dxa"/>
            <w:bottom w:w="0" w:type="dxa"/>
            <w:right w:w="108" w:type="dxa"/>
          </w:tblCellMar>
        </w:tblPrEx>
        <w:trPr>
          <w:trHeight w:val="411" w:hRule="atLeast"/>
        </w:trPr>
        <w:tc>
          <w:tcPr>
            <w:tcW w:w="7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73A6DF">
            <w:pPr>
              <w:spacing w:line="400" w:lineRule="exact"/>
              <w:ind w:right="-48" w:rightChars="0"/>
              <w:jc w:val="center"/>
              <w:rPr>
                <w:rFonts w:hint="default" w:ascii="宋体" w:hAnsi="宋体" w:eastAsiaTheme="minorEastAsia" w:cstheme="minorBidi"/>
                <w:bCs/>
                <w:color w:val="FF0000"/>
                <w:kern w:val="2"/>
                <w:sz w:val="21"/>
                <w:szCs w:val="21"/>
                <w:lang w:val="en-US" w:eastAsia="zh-CN" w:bidi="ar-SA"/>
              </w:rPr>
            </w:pPr>
            <w:r>
              <w:rPr>
                <w:rFonts w:hint="eastAsia" w:ascii="宋体" w:hAnsi="宋体"/>
                <w:bCs/>
                <w:color w:val="FF0000"/>
                <w:sz w:val="21"/>
                <w:szCs w:val="21"/>
                <w:lang w:val="en-US" w:eastAsia="zh-CN"/>
              </w:rPr>
              <w:t>12</w:t>
            </w:r>
          </w:p>
        </w:tc>
        <w:tc>
          <w:tcPr>
            <w:tcW w:w="4109" w:type="dxa"/>
            <w:gridSpan w:val="7"/>
            <w:tcBorders>
              <w:top w:val="single" w:color="auto" w:sz="4" w:space="0"/>
              <w:left w:val="single" w:color="auto" w:sz="4" w:space="0"/>
              <w:bottom w:val="single" w:color="auto" w:sz="4" w:space="0"/>
              <w:right w:val="single" w:color="auto" w:sz="4" w:space="0"/>
            </w:tcBorders>
            <w:noWrap w:val="0"/>
            <w:vAlign w:val="center"/>
          </w:tcPr>
          <w:p w14:paraId="59A0E337">
            <w:pPr>
              <w:spacing w:line="400" w:lineRule="exact"/>
              <w:ind w:right="-48"/>
              <w:rPr>
                <w:rFonts w:ascii="宋体" w:hAnsi="宋体"/>
                <w:bCs/>
                <w:color w:val="FF0000"/>
                <w:sz w:val="21"/>
                <w:szCs w:val="21"/>
              </w:rPr>
            </w:pPr>
            <w:r>
              <w:rPr>
                <w:rFonts w:hint="eastAsia" w:ascii="宋体" w:hAnsi="宋体"/>
                <w:bCs/>
                <w:color w:val="FF0000"/>
                <w:sz w:val="21"/>
                <w:szCs w:val="21"/>
              </w:rPr>
              <w:t>行驶时货叉或卡板离地提升高度要求200-3</w:t>
            </w:r>
            <w:r>
              <w:rPr>
                <w:rFonts w:ascii="宋体" w:hAnsi="宋体"/>
                <w:bCs/>
                <w:color w:val="FF0000"/>
                <w:sz w:val="21"/>
                <w:szCs w:val="21"/>
              </w:rPr>
              <w:t>0</w:t>
            </w:r>
            <w:r>
              <w:rPr>
                <w:rFonts w:hint="eastAsia" w:ascii="宋体" w:hAnsi="宋体"/>
                <w:bCs/>
                <w:color w:val="FF0000"/>
                <w:sz w:val="21"/>
                <w:szCs w:val="21"/>
              </w:rPr>
              <w:t>0m</w:t>
            </w:r>
            <w:r>
              <w:rPr>
                <w:rFonts w:ascii="宋体" w:hAnsi="宋体"/>
                <w:bCs/>
                <w:color w:val="FF0000"/>
                <w:sz w:val="21"/>
                <w:szCs w:val="21"/>
              </w:rPr>
              <w:t>m</w:t>
            </w:r>
            <w:r>
              <w:rPr>
                <w:rFonts w:hint="eastAsia" w:ascii="宋体" w:hAnsi="宋体"/>
                <w:bCs/>
                <w:color w:val="FF0000"/>
                <w:sz w:val="21"/>
                <w:szCs w:val="21"/>
              </w:rPr>
              <w:t>，不能过高或过低，门架没有后倾</w:t>
            </w:r>
          </w:p>
        </w:tc>
        <w:tc>
          <w:tcPr>
            <w:tcW w:w="2479" w:type="dxa"/>
            <w:gridSpan w:val="3"/>
            <w:tcBorders>
              <w:top w:val="single" w:color="auto" w:sz="4" w:space="0"/>
              <w:left w:val="single" w:color="auto" w:sz="4" w:space="0"/>
              <w:bottom w:val="single" w:color="000000" w:sz="4" w:space="0"/>
              <w:right w:val="single" w:color="auto" w:sz="4" w:space="0"/>
            </w:tcBorders>
            <w:noWrap w:val="0"/>
            <w:vAlign w:val="center"/>
          </w:tcPr>
          <w:p w14:paraId="3E58C782">
            <w:pPr>
              <w:spacing w:line="400" w:lineRule="exact"/>
              <w:ind w:right="-48"/>
              <w:rPr>
                <w:rFonts w:ascii="宋体" w:hAnsi="宋体"/>
                <w:bCs/>
                <w:color w:val="FF0000"/>
                <w:sz w:val="21"/>
                <w:szCs w:val="21"/>
              </w:rPr>
            </w:pPr>
            <w:r>
              <w:rPr>
                <w:rFonts w:hint="eastAsia" w:ascii="宋体" w:hAnsi="宋体"/>
                <w:bCs/>
                <w:color w:val="FF0000"/>
                <w:sz w:val="21"/>
                <w:szCs w:val="21"/>
              </w:rPr>
              <w:t>每次扣</w:t>
            </w:r>
            <w:r>
              <w:rPr>
                <w:rFonts w:hint="eastAsia" w:ascii="宋体" w:hAnsi="宋体"/>
                <w:bCs/>
                <w:color w:val="FF0000"/>
                <w:sz w:val="21"/>
                <w:szCs w:val="21"/>
                <w:lang w:val="en-US" w:eastAsia="zh-CN"/>
              </w:rPr>
              <w:t>5秒</w:t>
            </w:r>
          </w:p>
        </w:tc>
        <w:tc>
          <w:tcPr>
            <w:tcW w:w="1050" w:type="dxa"/>
            <w:tcBorders>
              <w:left w:val="nil"/>
              <w:bottom w:val="single" w:color="auto" w:sz="4" w:space="0"/>
              <w:right w:val="single" w:color="auto" w:sz="4" w:space="0"/>
            </w:tcBorders>
            <w:noWrap w:val="0"/>
            <w:vAlign w:val="center"/>
          </w:tcPr>
          <w:p w14:paraId="01770F35">
            <w:pPr>
              <w:spacing w:line="400" w:lineRule="exact"/>
              <w:ind w:right="-48"/>
              <w:jc w:val="center"/>
              <w:rPr>
                <w:rFonts w:hint="eastAsia" w:ascii="宋体" w:hAnsi="宋体"/>
                <w:bCs/>
                <w:color w:val="FF0000"/>
                <w:sz w:val="21"/>
                <w:szCs w:val="21"/>
              </w:rPr>
            </w:pPr>
          </w:p>
        </w:tc>
        <w:tc>
          <w:tcPr>
            <w:tcW w:w="768" w:type="dxa"/>
            <w:tcBorders>
              <w:left w:val="nil"/>
              <w:bottom w:val="single" w:color="auto" w:sz="4" w:space="0"/>
              <w:right w:val="single" w:color="auto" w:sz="4" w:space="0"/>
            </w:tcBorders>
            <w:noWrap w:val="0"/>
            <w:vAlign w:val="center"/>
          </w:tcPr>
          <w:p w14:paraId="35ECA132">
            <w:pPr>
              <w:spacing w:line="400" w:lineRule="exact"/>
              <w:ind w:left="-214" w:leftChars="-102" w:right="-48"/>
              <w:jc w:val="center"/>
              <w:rPr>
                <w:rFonts w:hint="eastAsia" w:ascii="宋体" w:hAnsi="宋体"/>
                <w:bCs/>
                <w:color w:val="FF0000"/>
                <w:sz w:val="21"/>
                <w:szCs w:val="21"/>
              </w:rPr>
            </w:pPr>
          </w:p>
        </w:tc>
      </w:tr>
      <w:tr w14:paraId="49A3DBF6">
        <w:tblPrEx>
          <w:tblCellMar>
            <w:top w:w="0" w:type="dxa"/>
            <w:left w:w="108" w:type="dxa"/>
            <w:bottom w:w="0" w:type="dxa"/>
            <w:right w:w="108" w:type="dxa"/>
          </w:tblCellMar>
        </w:tblPrEx>
        <w:trPr>
          <w:trHeight w:val="411" w:hRule="atLeast"/>
        </w:trPr>
        <w:tc>
          <w:tcPr>
            <w:tcW w:w="7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B9CFA1">
            <w:pPr>
              <w:spacing w:line="400" w:lineRule="exact"/>
              <w:ind w:right="-48" w:rightChars="0"/>
              <w:jc w:val="center"/>
              <w:rPr>
                <w:rFonts w:hint="eastAsia" w:ascii="宋体" w:hAnsi="宋体" w:eastAsiaTheme="minorEastAsia" w:cstheme="minorBidi"/>
                <w:bCs/>
                <w:color w:val="FF0000"/>
                <w:kern w:val="2"/>
                <w:sz w:val="21"/>
                <w:szCs w:val="21"/>
                <w:lang w:val="en-US" w:eastAsia="zh-CN" w:bidi="ar-SA"/>
              </w:rPr>
            </w:pPr>
            <w:r>
              <w:rPr>
                <w:rFonts w:hint="eastAsia" w:ascii="宋体" w:hAnsi="宋体"/>
                <w:bCs/>
                <w:color w:val="FF0000"/>
                <w:sz w:val="21"/>
                <w:szCs w:val="21"/>
              </w:rPr>
              <w:t>1</w:t>
            </w:r>
            <w:r>
              <w:rPr>
                <w:rFonts w:hint="eastAsia" w:ascii="宋体" w:hAnsi="宋体"/>
                <w:bCs/>
                <w:color w:val="FF0000"/>
                <w:sz w:val="21"/>
                <w:szCs w:val="21"/>
                <w:lang w:val="en-US" w:eastAsia="zh-CN"/>
              </w:rPr>
              <w:t>3</w:t>
            </w:r>
          </w:p>
        </w:tc>
        <w:tc>
          <w:tcPr>
            <w:tcW w:w="4109" w:type="dxa"/>
            <w:gridSpan w:val="7"/>
            <w:tcBorders>
              <w:top w:val="single" w:color="auto" w:sz="4" w:space="0"/>
              <w:left w:val="single" w:color="auto" w:sz="4" w:space="0"/>
              <w:bottom w:val="single" w:color="auto" w:sz="4" w:space="0"/>
              <w:right w:val="single" w:color="auto" w:sz="4" w:space="0"/>
            </w:tcBorders>
            <w:noWrap w:val="0"/>
            <w:vAlign w:val="center"/>
          </w:tcPr>
          <w:p w14:paraId="7D72C57C">
            <w:pPr>
              <w:spacing w:line="400" w:lineRule="exact"/>
              <w:ind w:right="-48"/>
              <w:rPr>
                <w:rFonts w:ascii="宋体" w:hAnsi="宋体"/>
                <w:bCs/>
                <w:color w:val="FF0000"/>
                <w:sz w:val="21"/>
                <w:szCs w:val="21"/>
              </w:rPr>
            </w:pPr>
            <w:r>
              <w:rPr>
                <w:rFonts w:hint="eastAsia" w:ascii="宋体" w:hAnsi="宋体"/>
                <w:bCs/>
                <w:color w:val="FF0000"/>
                <w:sz w:val="21"/>
                <w:szCs w:val="21"/>
              </w:rPr>
              <w:t>操作完成后货叉不平放落地</w:t>
            </w:r>
          </w:p>
        </w:tc>
        <w:tc>
          <w:tcPr>
            <w:tcW w:w="2479" w:type="dxa"/>
            <w:gridSpan w:val="3"/>
            <w:tcBorders>
              <w:top w:val="single" w:color="auto" w:sz="4" w:space="0"/>
              <w:left w:val="single" w:color="auto" w:sz="4" w:space="0"/>
              <w:bottom w:val="single" w:color="000000" w:sz="4" w:space="0"/>
              <w:right w:val="single" w:color="auto" w:sz="4" w:space="0"/>
            </w:tcBorders>
            <w:noWrap w:val="0"/>
            <w:vAlign w:val="center"/>
          </w:tcPr>
          <w:p w14:paraId="400DEC45">
            <w:pPr>
              <w:spacing w:line="400" w:lineRule="exact"/>
              <w:ind w:right="-48"/>
              <w:rPr>
                <w:rFonts w:ascii="宋体" w:hAnsi="宋体"/>
                <w:bCs/>
                <w:color w:val="FF0000"/>
                <w:sz w:val="21"/>
                <w:szCs w:val="21"/>
              </w:rPr>
            </w:pPr>
            <w:r>
              <w:rPr>
                <w:rFonts w:hint="eastAsia" w:ascii="宋体" w:hAnsi="宋体"/>
                <w:bCs/>
                <w:color w:val="FF0000"/>
                <w:sz w:val="21"/>
                <w:szCs w:val="21"/>
              </w:rPr>
              <w:t>扣2</w:t>
            </w:r>
            <w:r>
              <w:rPr>
                <w:rFonts w:hint="eastAsia" w:ascii="宋体" w:hAnsi="宋体"/>
                <w:bCs/>
                <w:color w:val="FF0000"/>
                <w:sz w:val="21"/>
                <w:szCs w:val="21"/>
                <w:lang w:val="en-US" w:eastAsia="zh-CN"/>
              </w:rPr>
              <w:t>秒</w:t>
            </w:r>
          </w:p>
        </w:tc>
        <w:tc>
          <w:tcPr>
            <w:tcW w:w="1050" w:type="dxa"/>
            <w:tcBorders>
              <w:left w:val="nil"/>
              <w:bottom w:val="single" w:color="auto" w:sz="4" w:space="0"/>
              <w:right w:val="single" w:color="auto" w:sz="4" w:space="0"/>
            </w:tcBorders>
            <w:noWrap w:val="0"/>
            <w:vAlign w:val="center"/>
          </w:tcPr>
          <w:p w14:paraId="002CF68B">
            <w:pPr>
              <w:spacing w:line="400" w:lineRule="exact"/>
              <w:ind w:right="-48"/>
              <w:jc w:val="center"/>
              <w:rPr>
                <w:rFonts w:hint="eastAsia" w:ascii="宋体" w:hAnsi="宋体"/>
                <w:bCs/>
                <w:color w:val="FF0000"/>
                <w:sz w:val="21"/>
                <w:szCs w:val="21"/>
              </w:rPr>
            </w:pPr>
          </w:p>
        </w:tc>
        <w:tc>
          <w:tcPr>
            <w:tcW w:w="768" w:type="dxa"/>
            <w:tcBorders>
              <w:left w:val="nil"/>
              <w:bottom w:val="single" w:color="auto" w:sz="4" w:space="0"/>
              <w:right w:val="single" w:color="auto" w:sz="4" w:space="0"/>
            </w:tcBorders>
            <w:noWrap w:val="0"/>
            <w:vAlign w:val="center"/>
          </w:tcPr>
          <w:p w14:paraId="3C52464D">
            <w:pPr>
              <w:spacing w:line="400" w:lineRule="exact"/>
              <w:ind w:left="-214" w:leftChars="-102" w:right="-48"/>
              <w:jc w:val="center"/>
              <w:rPr>
                <w:rFonts w:hint="eastAsia" w:ascii="宋体" w:hAnsi="宋体"/>
                <w:bCs/>
                <w:color w:val="FF0000"/>
                <w:sz w:val="21"/>
                <w:szCs w:val="21"/>
              </w:rPr>
            </w:pPr>
          </w:p>
        </w:tc>
      </w:tr>
      <w:tr w14:paraId="4C7F83DA">
        <w:tblPrEx>
          <w:tblCellMar>
            <w:top w:w="0" w:type="dxa"/>
            <w:left w:w="108" w:type="dxa"/>
            <w:bottom w:w="0" w:type="dxa"/>
            <w:right w:w="108" w:type="dxa"/>
          </w:tblCellMar>
        </w:tblPrEx>
        <w:trPr>
          <w:trHeight w:val="411" w:hRule="atLeast"/>
        </w:trPr>
        <w:tc>
          <w:tcPr>
            <w:tcW w:w="7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8D645D">
            <w:pPr>
              <w:spacing w:line="400" w:lineRule="exact"/>
              <w:ind w:right="-48" w:rightChars="0"/>
              <w:jc w:val="center"/>
              <w:rPr>
                <w:rFonts w:hint="default" w:ascii="宋体" w:hAnsi="宋体" w:eastAsiaTheme="minorEastAsia" w:cstheme="minorBidi"/>
                <w:bCs/>
                <w:color w:val="FF0000"/>
                <w:kern w:val="2"/>
                <w:sz w:val="21"/>
                <w:szCs w:val="21"/>
                <w:lang w:val="en-US" w:eastAsia="zh-CN" w:bidi="ar-SA"/>
              </w:rPr>
            </w:pPr>
            <w:r>
              <w:rPr>
                <w:rFonts w:hint="eastAsia" w:ascii="宋体" w:hAnsi="宋体"/>
                <w:bCs/>
                <w:color w:val="FF0000"/>
                <w:sz w:val="21"/>
                <w:szCs w:val="21"/>
                <w:lang w:val="en-US" w:eastAsia="zh-CN"/>
              </w:rPr>
              <w:t>14</w:t>
            </w:r>
          </w:p>
        </w:tc>
        <w:tc>
          <w:tcPr>
            <w:tcW w:w="4109" w:type="dxa"/>
            <w:gridSpan w:val="7"/>
            <w:tcBorders>
              <w:top w:val="single" w:color="auto" w:sz="4" w:space="0"/>
              <w:left w:val="single" w:color="auto" w:sz="4" w:space="0"/>
              <w:bottom w:val="single" w:color="auto" w:sz="4" w:space="0"/>
              <w:right w:val="single" w:color="auto" w:sz="4" w:space="0"/>
            </w:tcBorders>
            <w:noWrap w:val="0"/>
            <w:vAlign w:val="center"/>
          </w:tcPr>
          <w:p w14:paraId="22946334">
            <w:pPr>
              <w:spacing w:line="400" w:lineRule="exact"/>
              <w:ind w:right="-48"/>
              <w:rPr>
                <w:rFonts w:ascii="宋体" w:hAnsi="宋体"/>
                <w:bCs/>
                <w:color w:val="FF0000"/>
                <w:sz w:val="21"/>
                <w:szCs w:val="21"/>
              </w:rPr>
            </w:pPr>
            <w:r>
              <w:rPr>
                <w:rFonts w:ascii="宋体" w:hAnsi="宋体"/>
                <w:bCs/>
                <w:color w:val="FF0000"/>
                <w:sz w:val="21"/>
                <w:szCs w:val="21"/>
              </w:rPr>
              <w:t>下车后未拉手刹</w:t>
            </w:r>
          </w:p>
        </w:tc>
        <w:tc>
          <w:tcPr>
            <w:tcW w:w="2479" w:type="dxa"/>
            <w:gridSpan w:val="3"/>
            <w:tcBorders>
              <w:top w:val="single" w:color="auto" w:sz="4" w:space="0"/>
              <w:left w:val="single" w:color="auto" w:sz="4" w:space="0"/>
              <w:bottom w:val="single" w:color="000000" w:sz="4" w:space="0"/>
              <w:right w:val="single" w:color="auto" w:sz="4" w:space="0"/>
            </w:tcBorders>
            <w:noWrap w:val="0"/>
            <w:vAlign w:val="center"/>
          </w:tcPr>
          <w:p w14:paraId="2CE28310">
            <w:pPr>
              <w:spacing w:line="400" w:lineRule="exact"/>
              <w:ind w:right="-48"/>
              <w:rPr>
                <w:rFonts w:ascii="宋体" w:hAnsi="宋体"/>
                <w:bCs/>
                <w:color w:val="FF0000"/>
                <w:sz w:val="21"/>
                <w:szCs w:val="21"/>
              </w:rPr>
            </w:pPr>
            <w:r>
              <w:rPr>
                <w:rFonts w:hint="eastAsia" w:ascii="宋体" w:hAnsi="宋体"/>
                <w:bCs/>
                <w:color w:val="FF0000"/>
                <w:sz w:val="21"/>
                <w:szCs w:val="21"/>
              </w:rPr>
              <w:t>扣5</w:t>
            </w:r>
            <w:r>
              <w:rPr>
                <w:rFonts w:hint="eastAsia" w:ascii="宋体" w:hAnsi="宋体"/>
                <w:bCs/>
                <w:color w:val="FF0000"/>
                <w:sz w:val="21"/>
                <w:szCs w:val="21"/>
                <w:lang w:val="en-US" w:eastAsia="zh-CN"/>
              </w:rPr>
              <w:t>秒</w:t>
            </w:r>
          </w:p>
        </w:tc>
        <w:tc>
          <w:tcPr>
            <w:tcW w:w="1050" w:type="dxa"/>
            <w:tcBorders>
              <w:left w:val="nil"/>
              <w:bottom w:val="single" w:color="auto" w:sz="4" w:space="0"/>
              <w:right w:val="single" w:color="auto" w:sz="4" w:space="0"/>
            </w:tcBorders>
            <w:noWrap w:val="0"/>
            <w:vAlign w:val="center"/>
          </w:tcPr>
          <w:p w14:paraId="0F7D425B">
            <w:pPr>
              <w:spacing w:line="400" w:lineRule="exact"/>
              <w:ind w:right="-48"/>
              <w:jc w:val="center"/>
              <w:rPr>
                <w:rFonts w:hint="eastAsia" w:ascii="宋体" w:hAnsi="宋体"/>
                <w:bCs/>
                <w:color w:val="FF0000"/>
                <w:sz w:val="21"/>
                <w:szCs w:val="21"/>
              </w:rPr>
            </w:pPr>
          </w:p>
        </w:tc>
        <w:tc>
          <w:tcPr>
            <w:tcW w:w="768" w:type="dxa"/>
            <w:tcBorders>
              <w:left w:val="nil"/>
              <w:bottom w:val="single" w:color="auto" w:sz="4" w:space="0"/>
              <w:right w:val="single" w:color="auto" w:sz="4" w:space="0"/>
            </w:tcBorders>
            <w:noWrap w:val="0"/>
            <w:vAlign w:val="center"/>
          </w:tcPr>
          <w:p w14:paraId="33002007">
            <w:pPr>
              <w:spacing w:line="400" w:lineRule="exact"/>
              <w:ind w:left="-214" w:leftChars="-102" w:right="-48"/>
              <w:jc w:val="center"/>
              <w:rPr>
                <w:rFonts w:hint="eastAsia" w:ascii="宋体" w:hAnsi="宋体"/>
                <w:bCs/>
                <w:color w:val="FF0000"/>
                <w:sz w:val="21"/>
                <w:szCs w:val="21"/>
              </w:rPr>
            </w:pPr>
          </w:p>
        </w:tc>
      </w:tr>
      <w:tr w14:paraId="7D0D5B76">
        <w:tblPrEx>
          <w:tblCellMar>
            <w:top w:w="0" w:type="dxa"/>
            <w:left w:w="108" w:type="dxa"/>
            <w:bottom w:w="0" w:type="dxa"/>
            <w:right w:w="108" w:type="dxa"/>
          </w:tblCellMar>
        </w:tblPrEx>
        <w:trPr>
          <w:trHeight w:val="411" w:hRule="atLeast"/>
        </w:trPr>
        <w:tc>
          <w:tcPr>
            <w:tcW w:w="7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3FC339">
            <w:pPr>
              <w:spacing w:line="400" w:lineRule="exact"/>
              <w:ind w:right="-48" w:rightChars="0"/>
              <w:jc w:val="center"/>
              <w:rPr>
                <w:rFonts w:hint="eastAsia" w:ascii="宋体" w:hAnsi="宋体" w:eastAsiaTheme="minorEastAsia" w:cstheme="minorBidi"/>
                <w:bCs/>
                <w:color w:val="FF0000"/>
                <w:kern w:val="2"/>
                <w:sz w:val="21"/>
                <w:szCs w:val="21"/>
                <w:lang w:val="en-US" w:eastAsia="zh-CN" w:bidi="ar-SA"/>
              </w:rPr>
            </w:pPr>
            <w:r>
              <w:rPr>
                <w:rFonts w:hint="eastAsia" w:ascii="宋体" w:hAnsi="宋体"/>
                <w:bCs/>
                <w:color w:val="FF0000"/>
                <w:sz w:val="21"/>
                <w:szCs w:val="21"/>
              </w:rPr>
              <w:t>1</w:t>
            </w:r>
            <w:r>
              <w:rPr>
                <w:rFonts w:hint="eastAsia" w:ascii="宋体" w:hAnsi="宋体"/>
                <w:bCs/>
                <w:color w:val="FF0000"/>
                <w:sz w:val="21"/>
                <w:szCs w:val="21"/>
                <w:lang w:val="en-US" w:eastAsia="zh-CN"/>
              </w:rPr>
              <w:t>5</w:t>
            </w:r>
          </w:p>
        </w:tc>
        <w:tc>
          <w:tcPr>
            <w:tcW w:w="4109" w:type="dxa"/>
            <w:gridSpan w:val="7"/>
            <w:tcBorders>
              <w:top w:val="single" w:color="auto" w:sz="4" w:space="0"/>
              <w:left w:val="single" w:color="auto" w:sz="4" w:space="0"/>
              <w:bottom w:val="single" w:color="auto" w:sz="4" w:space="0"/>
              <w:right w:val="single" w:color="auto" w:sz="4" w:space="0"/>
            </w:tcBorders>
            <w:noWrap w:val="0"/>
            <w:vAlign w:val="center"/>
          </w:tcPr>
          <w:p w14:paraId="759823BE">
            <w:pPr>
              <w:spacing w:line="400" w:lineRule="exact"/>
              <w:ind w:right="-48"/>
              <w:rPr>
                <w:rFonts w:ascii="宋体" w:hAnsi="宋体"/>
                <w:bCs/>
                <w:color w:val="FF0000"/>
                <w:sz w:val="21"/>
                <w:szCs w:val="21"/>
              </w:rPr>
            </w:pPr>
            <w:r>
              <w:rPr>
                <w:rFonts w:hint="eastAsia" w:ascii="宋体" w:hAnsi="宋体"/>
                <w:bCs/>
                <w:color w:val="FF0000"/>
                <w:sz w:val="21"/>
                <w:szCs w:val="21"/>
              </w:rPr>
              <w:t>行驶中</w:t>
            </w:r>
            <w:r>
              <w:rPr>
                <w:rFonts w:hint="eastAsia" w:ascii="宋体" w:hAnsi="宋体"/>
                <w:bCs/>
                <w:color w:val="FF0000"/>
                <w:sz w:val="21"/>
                <w:szCs w:val="21"/>
                <w:lang w:eastAsia="zh-CN"/>
              </w:rPr>
              <w:t>货箱</w:t>
            </w:r>
            <w:r>
              <w:rPr>
                <w:rFonts w:hint="eastAsia" w:ascii="宋体" w:hAnsi="宋体"/>
                <w:bCs/>
                <w:color w:val="FF0000"/>
                <w:sz w:val="21"/>
                <w:szCs w:val="21"/>
              </w:rPr>
              <w:t>与地面接触</w:t>
            </w:r>
          </w:p>
        </w:tc>
        <w:tc>
          <w:tcPr>
            <w:tcW w:w="2479" w:type="dxa"/>
            <w:gridSpan w:val="3"/>
            <w:tcBorders>
              <w:top w:val="single" w:color="auto" w:sz="4" w:space="0"/>
              <w:left w:val="single" w:color="auto" w:sz="4" w:space="0"/>
              <w:bottom w:val="single" w:color="000000" w:sz="4" w:space="0"/>
              <w:right w:val="single" w:color="auto" w:sz="4" w:space="0"/>
            </w:tcBorders>
            <w:noWrap w:val="0"/>
            <w:vAlign w:val="center"/>
          </w:tcPr>
          <w:p w14:paraId="0460E56A">
            <w:pPr>
              <w:spacing w:line="400" w:lineRule="exact"/>
              <w:ind w:right="-48"/>
              <w:rPr>
                <w:rFonts w:hint="eastAsia" w:ascii="宋体" w:hAnsi="宋体"/>
                <w:bCs/>
                <w:color w:val="FF0000"/>
                <w:sz w:val="21"/>
                <w:szCs w:val="21"/>
              </w:rPr>
            </w:pPr>
            <w:r>
              <w:rPr>
                <w:rFonts w:hint="eastAsia" w:ascii="宋体" w:hAnsi="宋体"/>
                <w:bCs/>
                <w:color w:val="FF0000"/>
                <w:sz w:val="21"/>
                <w:szCs w:val="21"/>
              </w:rPr>
              <w:t>每次扣</w:t>
            </w:r>
            <w:r>
              <w:rPr>
                <w:rFonts w:hint="eastAsia" w:ascii="宋体" w:hAnsi="宋体"/>
                <w:bCs/>
                <w:color w:val="FF0000"/>
                <w:sz w:val="21"/>
                <w:szCs w:val="21"/>
                <w:lang w:val="en-US" w:eastAsia="zh-CN"/>
              </w:rPr>
              <w:t>10秒</w:t>
            </w:r>
          </w:p>
        </w:tc>
        <w:tc>
          <w:tcPr>
            <w:tcW w:w="1050" w:type="dxa"/>
            <w:tcBorders>
              <w:left w:val="nil"/>
              <w:bottom w:val="single" w:color="auto" w:sz="4" w:space="0"/>
              <w:right w:val="single" w:color="auto" w:sz="4" w:space="0"/>
            </w:tcBorders>
            <w:noWrap w:val="0"/>
            <w:vAlign w:val="center"/>
          </w:tcPr>
          <w:p w14:paraId="5F2725B9">
            <w:pPr>
              <w:spacing w:line="400" w:lineRule="exact"/>
              <w:ind w:right="-48"/>
              <w:jc w:val="center"/>
              <w:rPr>
                <w:rFonts w:hint="eastAsia" w:ascii="宋体" w:hAnsi="宋体"/>
                <w:bCs/>
                <w:color w:val="FF0000"/>
                <w:sz w:val="21"/>
                <w:szCs w:val="21"/>
              </w:rPr>
            </w:pPr>
          </w:p>
        </w:tc>
        <w:tc>
          <w:tcPr>
            <w:tcW w:w="768" w:type="dxa"/>
            <w:tcBorders>
              <w:left w:val="nil"/>
              <w:bottom w:val="single" w:color="auto" w:sz="4" w:space="0"/>
              <w:right w:val="single" w:color="auto" w:sz="4" w:space="0"/>
            </w:tcBorders>
            <w:noWrap w:val="0"/>
            <w:vAlign w:val="center"/>
          </w:tcPr>
          <w:p w14:paraId="7988BA41">
            <w:pPr>
              <w:spacing w:line="400" w:lineRule="exact"/>
              <w:ind w:left="-214" w:leftChars="-102" w:right="-48"/>
              <w:jc w:val="center"/>
              <w:rPr>
                <w:rFonts w:hint="eastAsia" w:ascii="宋体" w:hAnsi="宋体"/>
                <w:bCs/>
                <w:color w:val="FF0000"/>
                <w:sz w:val="21"/>
                <w:szCs w:val="21"/>
              </w:rPr>
            </w:pPr>
          </w:p>
        </w:tc>
      </w:tr>
      <w:tr w14:paraId="68BEE810">
        <w:tblPrEx>
          <w:tblCellMar>
            <w:top w:w="0" w:type="dxa"/>
            <w:left w:w="108" w:type="dxa"/>
            <w:bottom w:w="0" w:type="dxa"/>
            <w:right w:w="108" w:type="dxa"/>
          </w:tblCellMar>
        </w:tblPrEx>
        <w:trPr>
          <w:trHeight w:val="411" w:hRule="atLeast"/>
        </w:trPr>
        <w:tc>
          <w:tcPr>
            <w:tcW w:w="706" w:type="dxa"/>
            <w:tcBorders>
              <w:top w:val="single" w:color="auto" w:sz="4" w:space="0"/>
              <w:left w:val="single" w:color="auto" w:sz="4" w:space="0"/>
              <w:bottom w:val="single" w:color="auto" w:sz="4" w:space="0"/>
              <w:right w:val="single" w:color="auto" w:sz="4" w:space="0"/>
            </w:tcBorders>
            <w:noWrap w:val="0"/>
            <w:vAlign w:val="center"/>
          </w:tcPr>
          <w:p w14:paraId="30A0A8CE">
            <w:pPr>
              <w:spacing w:line="400" w:lineRule="exact"/>
              <w:ind w:right="-48"/>
              <w:jc w:val="center"/>
              <w:rPr>
                <w:rFonts w:hint="eastAsia" w:ascii="宋体" w:hAnsi="宋体" w:eastAsiaTheme="minorEastAsia"/>
                <w:bCs/>
                <w:color w:val="FF0000"/>
                <w:sz w:val="21"/>
                <w:szCs w:val="21"/>
                <w:lang w:val="en-US" w:eastAsia="zh-CN"/>
              </w:rPr>
            </w:pPr>
            <w:r>
              <w:rPr>
                <w:rFonts w:hint="eastAsia" w:ascii="宋体" w:hAnsi="宋体"/>
                <w:bCs/>
                <w:color w:val="FF0000"/>
                <w:sz w:val="21"/>
                <w:szCs w:val="21"/>
              </w:rPr>
              <w:t>1</w:t>
            </w:r>
            <w:r>
              <w:rPr>
                <w:rFonts w:hint="eastAsia" w:ascii="宋体" w:hAnsi="宋体"/>
                <w:bCs/>
                <w:color w:val="FF0000"/>
                <w:sz w:val="21"/>
                <w:szCs w:val="21"/>
                <w:lang w:val="en-US" w:eastAsia="zh-CN"/>
              </w:rPr>
              <w:t>6</w:t>
            </w:r>
          </w:p>
        </w:tc>
        <w:tc>
          <w:tcPr>
            <w:tcW w:w="4109" w:type="dxa"/>
            <w:gridSpan w:val="7"/>
            <w:tcBorders>
              <w:top w:val="single" w:color="auto" w:sz="4" w:space="0"/>
              <w:left w:val="single" w:color="auto" w:sz="4" w:space="0"/>
              <w:bottom w:val="single" w:color="auto" w:sz="4" w:space="0"/>
              <w:right w:val="single" w:color="auto" w:sz="4" w:space="0"/>
            </w:tcBorders>
            <w:noWrap w:val="0"/>
            <w:vAlign w:val="center"/>
          </w:tcPr>
          <w:p w14:paraId="54F6F80E">
            <w:pPr>
              <w:spacing w:line="400" w:lineRule="exact"/>
              <w:ind w:right="-48"/>
              <w:rPr>
                <w:rFonts w:hint="eastAsia" w:ascii="宋体" w:hAnsi="宋体" w:eastAsiaTheme="minorEastAsia"/>
                <w:bCs/>
                <w:color w:val="FF0000"/>
                <w:sz w:val="21"/>
                <w:szCs w:val="21"/>
                <w:lang w:eastAsia="zh-CN"/>
              </w:rPr>
            </w:pPr>
            <w:r>
              <w:rPr>
                <w:rFonts w:hint="eastAsia" w:ascii="宋体" w:hAnsi="宋体"/>
                <w:bCs/>
                <w:color w:val="FF0000"/>
                <w:sz w:val="21"/>
                <w:szCs w:val="21"/>
              </w:rPr>
              <w:t>货叉顶撞</w:t>
            </w:r>
            <w:r>
              <w:rPr>
                <w:rFonts w:hint="eastAsia" w:ascii="宋体" w:hAnsi="宋体"/>
                <w:bCs/>
                <w:color w:val="FF0000"/>
                <w:sz w:val="21"/>
                <w:szCs w:val="21"/>
                <w:lang w:eastAsia="zh-CN"/>
              </w:rPr>
              <w:t>货架或货箱</w:t>
            </w:r>
          </w:p>
        </w:tc>
        <w:tc>
          <w:tcPr>
            <w:tcW w:w="2479" w:type="dxa"/>
            <w:gridSpan w:val="3"/>
            <w:tcBorders>
              <w:top w:val="single" w:color="auto" w:sz="4" w:space="0"/>
              <w:left w:val="single" w:color="auto" w:sz="4" w:space="0"/>
              <w:bottom w:val="single" w:color="000000" w:sz="4" w:space="0"/>
              <w:right w:val="single" w:color="auto" w:sz="4" w:space="0"/>
            </w:tcBorders>
            <w:noWrap w:val="0"/>
            <w:vAlign w:val="center"/>
          </w:tcPr>
          <w:p w14:paraId="165AC5EA">
            <w:pPr>
              <w:spacing w:line="400" w:lineRule="exact"/>
              <w:ind w:right="-48"/>
              <w:rPr>
                <w:rFonts w:hint="eastAsia" w:ascii="宋体" w:hAnsi="宋体"/>
                <w:bCs/>
                <w:color w:val="FF0000"/>
                <w:sz w:val="21"/>
                <w:szCs w:val="21"/>
              </w:rPr>
            </w:pPr>
            <w:r>
              <w:rPr>
                <w:rFonts w:hint="eastAsia" w:ascii="宋体" w:hAnsi="宋体"/>
                <w:bCs/>
                <w:color w:val="FF0000"/>
                <w:sz w:val="21"/>
                <w:szCs w:val="21"/>
              </w:rPr>
              <w:t>每次扣</w:t>
            </w:r>
            <w:r>
              <w:rPr>
                <w:rFonts w:hint="eastAsia" w:ascii="宋体" w:hAnsi="宋体"/>
                <w:bCs/>
                <w:color w:val="FF0000"/>
                <w:sz w:val="21"/>
                <w:szCs w:val="21"/>
                <w:lang w:val="en-US" w:eastAsia="zh-CN"/>
              </w:rPr>
              <w:t>10秒</w:t>
            </w:r>
          </w:p>
        </w:tc>
        <w:tc>
          <w:tcPr>
            <w:tcW w:w="1050" w:type="dxa"/>
            <w:tcBorders>
              <w:left w:val="nil"/>
              <w:bottom w:val="single" w:color="auto" w:sz="4" w:space="0"/>
              <w:right w:val="single" w:color="auto" w:sz="4" w:space="0"/>
            </w:tcBorders>
            <w:noWrap w:val="0"/>
            <w:vAlign w:val="center"/>
          </w:tcPr>
          <w:p w14:paraId="3D7A450C">
            <w:pPr>
              <w:spacing w:line="400" w:lineRule="exact"/>
              <w:ind w:right="-48"/>
              <w:jc w:val="center"/>
              <w:rPr>
                <w:rFonts w:hint="eastAsia" w:ascii="宋体" w:hAnsi="宋体"/>
                <w:bCs/>
                <w:color w:val="FF0000"/>
                <w:sz w:val="21"/>
                <w:szCs w:val="21"/>
              </w:rPr>
            </w:pPr>
          </w:p>
        </w:tc>
        <w:tc>
          <w:tcPr>
            <w:tcW w:w="768" w:type="dxa"/>
            <w:tcBorders>
              <w:left w:val="nil"/>
              <w:bottom w:val="single" w:color="auto" w:sz="4" w:space="0"/>
              <w:right w:val="single" w:color="auto" w:sz="4" w:space="0"/>
            </w:tcBorders>
            <w:noWrap w:val="0"/>
            <w:vAlign w:val="center"/>
          </w:tcPr>
          <w:p w14:paraId="5A569A05">
            <w:pPr>
              <w:spacing w:line="400" w:lineRule="exact"/>
              <w:ind w:left="-214" w:leftChars="-102" w:right="-48"/>
              <w:jc w:val="center"/>
              <w:rPr>
                <w:rFonts w:hint="eastAsia" w:ascii="宋体" w:hAnsi="宋体"/>
                <w:bCs/>
                <w:color w:val="FF0000"/>
                <w:sz w:val="21"/>
                <w:szCs w:val="21"/>
              </w:rPr>
            </w:pPr>
          </w:p>
        </w:tc>
      </w:tr>
      <w:tr w14:paraId="50F24734">
        <w:tblPrEx>
          <w:tblCellMar>
            <w:top w:w="0" w:type="dxa"/>
            <w:left w:w="108" w:type="dxa"/>
            <w:bottom w:w="0" w:type="dxa"/>
            <w:right w:w="108" w:type="dxa"/>
          </w:tblCellMar>
        </w:tblPrEx>
        <w:trPr>
          <w:trHeight w:val="411" w:hRule="atLeast"/>
        </w:trPr>
        <w:tc>
          <w:tcPr>
            <w:tcW w:w="706" w:type="dxa"/>
            <w:tcBorders>
              <w:top w:val="single" w:color="auto" w:sz="4" w:space="0"/>
              <w:left w:val="single" w:color="auto" w:sz="4" w:space="0"/>
              <w:bottom w:val="single" w:color="auto" w:sz="4" w:space="0"/>
              <w:right w:val="single" w:color="auto" w:sz="4" w:space="0"/>
            </w:tcBorders>
            <w:noWrap w:val="0"/>
            <w:vAlign w:val="center"/>
          </w:tcPr>
          <w:p w14:paraId="28EC9AAD">
            <w:pPr>
              <w:spacing w:line="400" w:lineRule="exact"/>
              <w:ind w:right="-48"/>
              <w:jc w:val="center"/>
              <w:rPr>
                <w:rFonts w:hint="eastAsia" w:ascii="宋体" w:hAnsi="宋体" w:eastAsiaTheme="minorEastAsia"/>
                <w:bCs/>
                <w:color w:val="FF0000"/>
                <w:sz w:val="21"/>
                <w:szCs w:val="21"/>
                <w:lang w:val="en-US" w:eastAsia="zh-CN"/>
              </w:rPr>
            </w:pPr>
            <w:r>
              <w:rPr>
                <w:rFonts w:hint="eastAsia" w:ascii="宋体" w:hAnsi="宋体"/>
                <w:bCs/>
                <w:color w:val="FF0000"/>
                <w:sz w:val="21"/>
                <w:szCs w:val="21"/>
              </w:rPr>
              <w:t>1</w:t>
            </w:r>
            <w:r>
              <w:rPr>
                <w:rFonts w:hint="eastAsia" w:ascii="宋体" w:hAnsi="宋体"/>
                <w:bCs/>
                <w:color w:val="FF0000"/>
                <w:sz w:val="21"/>
                <w:szCs w:val="21"/>
                <w:lang w:val="en-US" w:eastAsia="zh-CN"/>
              </w:rPr>
              <w:t>7</w:t>
            </w:r>
          </w:p>
        </w:tc>
        <w:tc>
          <w:tcPr>
            <w:tcW w:w="4109" w:type="dxa"/>
            <w:gridSpan w:val="7"/>
            <w:tcBorders>
              <w:top w:val="single" w:color="auto" w:sz="4" w:space="0"/>
              <w:left w:val="single" w:color="auto" w:sz="4" w:space="0"/>
              <w:bottom w:val="single" w:color="auto" w:sz="4" w:space="0"/>
              <w:right w:val="single" w:color="auto" w:sz="4" w:space="0"/>
            </w:tcBorders>
            <w:noWrap w:val="0"/>
            <w:vAlign w:val="center"/>
          </w:tcPr>
          <w:p w14:paraId="3F73D565">
            <w:pPr>
              <w:spacing w:line="400" w:lineRule="exact"/>
              <w:ind w:right="-48"/>
              <w:rPr>
                <w:rFonts w:hint="eastAsia" w:ascii="宋体" w:hAnsi="宋体" w:eastAsiaTheme="minorEastAsia"/>
                <w:bCs/>
                <w:color w:val="FF0000"/>
                <w:sz w:val="21"/>
                <w:szCs w:val="21"/>
                <w:lang w:eastAsia="zh-CN"/>
              </w:rPr>
            </w:pPr>
            <w:r>
              <w:rPr>
                <w:rFonts w:hint="eastAsia" w:ascii="宋体" w:hAnsi="宋体"/>
                <w:bCs/>
                <w:color w:val="FF0000"/>
                <w:sz w:val="21"/>
                <w:szCs w:val="21"/>
                <w:lang w:eastAsia="zh-CN"/>
              </w:rPr>
              <w:t>货箱未全部放入货架</w:t>
            </w:r>
          </w:p>
        </w:tc>
        <w:tc>
          <w:tcPr>
            <w:tcW w:w="2479" w:type="dxa"/>
            <w:gridSpan w:val="3"/>
            <w:tcBorders>
              <w:top w:val="single" w:color="auto" w:sz="4" w:space="0"/>
              <w:left w:val="single" w:color="auto" w:sz="4" w:space="0"/>
              <w:bottom w:val="single" w:color="000000" w:sz="4" w:space="0"/>
              <w:right w:val="single" w:color="auto" w:sz="4" w:space="0"/>
            </w:tcBorders>
            <w:noWrap w:val="0"/>
            <w:vAlign w:val="center"/>
          </w:tcPr>
          <w:p w14:paraId="414756BB">
            <w:pPr>
              <w:spacing w:line="400" w:lineRule="exact"/>
              <w:ind w:right="-48"/>
              <w:rPr>
                <w:rFonts w:ascii="宋体" w:hAnsi="宋体"/>
                <w:bCs/>
                <w:color w:val="FF0000"/>
                <w:sz w:val="21"/>
                <w:szCs w:val="21"/>
              </w:rPr>
            </w:pPr>
            <w:r>
              <w:rPr>
                <w:rFonts w:hint="eastAsia" w:ascii="宋体" w:hAnsi="宋体"/>
                <w:bCs/>
                <w:color w:val="FF0000"/>
                <w:sz w:val="21"/>
                <w:szCs w:val="21"/>
              </w:rPr>
              <w:t>每一个扣</w:t>
            </w:r>
            <w:r>
              <w:rPr>
                <w:rFonts w:hint="eastAsia" w:ascii="宋体" w:hAnsi="宋体"/>
                <w:bCs/>
                <w:color w:val="FF0000"/>
                <w:sz w:val="21"/>
                <w:szCs w:val="21"/>
                <w:lang w:val="en-US" w:eastAsia="zh-CN"/>
              </w:rPr>
              <w:t>20秒</w:t>
            </w:r>
          </w:p>
        </w:tc>
        <w:tc>
          <w:tcPr>
            <w:tcW w:w="1050" w:type="dxa"/>
            <w:tcBorders>
              <w:left w:val="nil"/>
              <w:bottom w:val="single" w:color="auto" w:sz="4" w:space="0"/>
              <w:right w:val="single" w:color="auto" w:sz="4" w:space="0"/>
            </w:tcBorders>
            <w:noWrap w:val="0"/>
            <w:vAlign w:val="center"/>
          </w:tcPr>
          <w:p w14:paraId="3D42272B">
            <w:pPr>
              <w:spacing w:line="400" w:lineRule="exact"/>
              <w:ind w:right="-48"/>
              <w:jc w:val="center"/>
              <w:rPr>
                <w:rFonts w:hint="eastAsia" w:ascii="宋体" w:hAnsi="宋体"/>
                <w:bCs/>
                <w:color w:val="FF0000"/>
                <w:sz w:val="21"/>
                <w:szCs w:val="21"/>
              </w:rPr>
            </w:pPr>
          </w:p>
        </w:tc>
        <w:tc>
          <w:tcPr>
            <w:tcW w:w="768" w:type="dxa"/>
            <w:tcBorders>
              <w:left w:val="nil"/>
              <w:bottom w:val="single" w:color="auto" w:sz="4" w:space="0"/>
              <w:right w:val="single" w:color="auto" w:sz="4" w:space="0"/>
            </w:tcBorders>
            <w:noWrap w:val="0"/>
            <w:vAlign w:val="center"/>
          </w:tcPr>
          <w:p w14:paraId="2E948ED4">
            <w:pPr>
              <w:spacing w:line="400" w:lineRule="exact"/>
              <w:ind w:left="-214" w:leftChars="-102" w:right="-48"/>
              <w:jc w:val="center"/>
              <w:rPr>
                <w:rFonts w:hint="eastAsia" w:ascii="宋体" w:hAnsi="宋体"/>
                <w:bCs/>
                <w:color w:val="FF0000"/>
                <w:sz w:val="21"/>
                <w:szCs w:val="21"/>
              </w:rPr>
            </w:pPr>
          </w:p>
        </w:tc>
      </w:tr>
      <w:tr w14:paraId="134208A9">
        <w:tblPrEx>
          <w:tblCellMar>
            <w:top w:w="0" w:type="dxa"/>
            <w:left w:w="108" w:type="dxa"/>
            <w:bottom w:w="0" w:type="dxa"/>
            <w:right w:w="108" w:type="dxa"/>
          </w:tblCellMar>
        </w:tblPrEx>
        <w:trPr>
          <w:trHeight w:val="411" w:hRule="atLeast"/>
        </w:trPr>
        <w:tc>
          <w:tcPr>
            <w:tcW w:w="706" w:type="dxa"/>
            <w:tcBorders>
              <w:top w:val="single" w:color="auto" w:sz="4" w:space="0"/>
              <w:left w:val="single" w:color="auto" w:sz="4" w:space="0"/>
              <w:bottom w:val="single" w:color="auto" w:sz="4" w:space="0"/>
              <w:right w:val="single" w:color="auto" w:sz="4" w:space="0"/>
            </w:tcBorders>
            <w:noWrap w:val="0"/>
            <w:vAlign w:val="center"/>
          </w:tcPr>
          <w:p w14:paraId="215D6E2D">
            <w:pPr>
              <w:spacing w:line="400" w:lineRule="exact"/>
              <w:ind w:right="-48"/>
              <w:jc w:val="center"/>
              <w:rPr>
                <w:rFonts w:hint="eastAsia" w:ascii="宋体" w:hAnsi="宋体" w:eastAsiaTheme="minorEastAsia"/>
                <w:bCs/>
                <w:color w:val="FF0000"/>
                <w:sz w:val="21"/>
                <w:szCs w:val="21"/>
                <w:lang w:eastAsia="zh-CN"/>
              </w:rPr>
            </w:pPr>
            <w:r>
              <w:rPr>
                <w:rFonts w:hint="eastAsia" w:ascii="宋体" w:hAnsi="宋体"/>
                <w:bCs/>
                <w:color w:val="FF0000"/>
                <w:sz w:val="21"/>
                <w:szCs w:val="21"/>
              </w:rPr>
              <w:t>1</w:t>
            </w:r>
            <w:r>
              <w:rPr>
                <w:rFonts w:hint="eastAsia" w:ascii="宋体" w:hAnsi="宋体"/>
                <w:bCs/>
                <w:color w:val="FF0000"/>
                <w:sz w:val="21"/>
                <w:szCs w:val="21"/>
                <w:lang w:val="en-US" w:eastAsia="zh-CN"/>
              </w:rPr>
              <w:t>8</w:t>
            </w:r>
          </w:p>
        </w:tc>
        <w:tc>
          <w:tcPr>
            <w:tcW w:w="4109" w:type="dxa"/>
            <w:gridSpan w:val="7"/>
            <w:tcBorders>
              <w:top w:val="single" w:color="auto" w:sz="4" w:space="0"/>
              <w:left w:val="single" w:color="auto" w:sz="4" w:space="0"/>
              <w:bottom w:val="single" w:color="auto" w:sz="4" w:space="0"/>
              <w:right w:val="single" w:color="auto" w:sz="4" w:space="0"/>
            </w:tcBorders>
            <w:noWrap w:val="0"/>
            <w:vAlign w:val="center"/>
          </w:tcPr>
          <w:p w14:paraId="345D74D7">
            <w:pPr>
              <w:spacing w:line="400" w:lineRule="exact"/>
              <w:ind w:right="-48"/>
              <w:rPr>
                <w:rFonts w:ascii="宋体" w:hAnsi="宋体"/>
                <w:bCs/>
                <w:color w:val="FF0000"/>
                <w:sz w:val="21"/>
                <w:szCs w:val="21"/>
              </w:rPr>
            </w:pPr>
            <w:r>
              <w:rPr>
                <w:rFonts w:hint="eastAsia" w:ascii="宋体" w:hAnsi="宋体"/>
                <w:bCs/>
                <w:color w:val="FF0000"/>
                <w:sz w:val="21"/>
                <w:szCs w:val="21"/>
              </w:rPr>
              <w:t>叉车未完全停入车位</w:t>
            </w:r>
          </w:p>
        </w:tc>
        <w:tc>
          <w:tcPr>
            <w:tcW w:w="2479" w:type="dxa"/>
            <w:gridSpan w:val="3"/>
            <w:tcBorders>
              <w:top w:val="single" w:color="auto" w:sz="4" w:space="0"/>
              <w:left w:val="single" w:color="auto" w:sz="4" w:space="0"/>
              <w:bottom w:val="single" w:color="000000" w:sz="4" w:space="0"/>
              <w:right w:val="single" w:color="auto" w:sz="4" w:space="0"/>
            </w:tcBorders>
            <w:noWrap w:val="0"/>
            <w:vAlign w:val="center"/>
          </w:tcPr>
          <w:p w14:paraId="776CF127">
            <w:pPr>
              <w:spacing w:line="400" w:lineRule="exact"/>
              <w:ind w:right="-48"/>
              <w:rPr>
                <w:rFonts w:ascii="宋体" w:hAnsi="宋体"/>
                <w:bCs/>
                <w:color w:val="FF0000"/>
                <w:sz w:val="21"/>
                <w:szCs w:val="21"/>
              </w:rPr>
            </w:pPr>
            <w:r>
              <w:rPr>
                <w:rFonts w:hint="eastAsia" w:ascii="宋体" w:hAnsi="宋体"/>
                <w:bCs/>
                <w:color w:val="FF0000"/>
                <w:sz w:val="21"/>
                <w:szCs w:val="21"/>
              </w:rPr>
              <w:t>扣</w:t>
            </w:r>
            <w:r>
              <w:rPr>
                <w:rFonts w:hint="eastAsia" w:ascii="宋体" w:hAnsi="宋体"/>
                <w:bCs/>
                <w:color w:val="FF0000"/>
                <w:sz w:val="21"/>
                <w:szCs w:val="21"/>
                <w:lang w:val="en-US" w:eastAsia="zh-CN"/>
              </w:rPr>
              <w:t>10秒</w:t>
            </w:r>
          </w:p>
        </w:tc>
        <w:tc>
          <w:tcPr>
            <w:tcW w:w="1050" w:type="dxa"/>
            <w:tcBorders>
              <w:left w:val="nil"/>
              <w:bottom w:val="single" w:color="auto" w:sz="4" w:space="0"/>
              <w:right w:val="single" w:color="auto" w:sz="4" w:space="0"/>
            </w:tcBorders>
            <w:noWrap w:val="0"/>
            <w:vAlign w:val="center"/>
          </w:tcPr>
          <w:p w14:paraId="20BAB7F4">
            <w:pPr>
              <w:spacing w:line="400" w:lineRule="exact"/>
              <w:ind w:right="-48"/>
              <w:jc w:val="center"/>
              <w:rPr>
                <w:rFonts w:hint="eastAsia" w:ascii="宋体" w:hAnsi="宋体"/>
                <w:bCs/>
                <w:color w:val="FF0000"/>
                <w:sz w:val="21"/>
                <w:szCs w:val="21"/>
              </w:rPr>
            </w:pPr>
          </w:p>
        </w:tc>
        <w:tc>
          <w:tcPr>
            <w:tcW w:w="768" w:type="dxa"/>
            <w:tcBorders>
              <w:left w:val="nil"/>
              <w:bottom w:val="single" w:color="auto" w:sz="4" w:space="0"/>
              <w:right w:val="single" w:color="auto" w:sz="4" w:space="0"/>
            </w:tcBorders>
            <w:noWrap w:val="0"/>
            <w:vAlign w:val="center"/>
          </w:tcPr>
          <w:p w14:paraId="10CFB4AC">
            <w:pPr>
              <w:spacing w:line="400" w:lineRule="exact"/>
              <w:ind w:left="-214" w:leftChars="-102" w:right="-48"/>
              <w:jc w:val="center"/>
              <w:rPr>
                <w:rFonts w:hint="eastAsia" w:ascii="宋体" w:hAnsi="宋体"/>
                <w:bCs/>
                <w:color w:val="FF0000"/>
                <w:sz w:val="21"/>
                <w:szCs w:val="21"/>
              </w:rPr>
            </w:pPr>
          </w:p>
        </w:tc>
      </w:tr>
      <w:tr w14:paraId="691FB3FA">
        <w:tblPrEx>
          <w:tblCellMar>
            <w:top w:w="0" w:type="dxa"/>
            <w:left w:w="108" w:type="dxa"/>
            <w:bottom w:w="0" w:type="dxa"/>
            <w:right w:w="108" w:type="dxa"/>
          </w:tblCellMar>
        </w:tblPrEx>
        <w:trPr>
          <w:trHeight w:val="397" w:hRule="atLeast"/>
        </w:trPr>
        <w:tc>
          <w:tcPr>
            <w:tcW w:w="706" w:type="dxa"/>
            <w:tcBorders>
              <w:top w:val="single" w:color="auto" w:sz="4" w:space="0"/>
              <w:left w:val="single" w:color="auto" w:sz="4" w:space="0"/>
              <w:bottom w:val="single" w:color="auto" w:sz="4" w:space="0"/>
              <w:right w:val="single" w:color="auto" w:sz="4" w:space="0"/>
            </w:tcBorders>
            <w:noWrap w:val="0"/>
            <w:vAlign w:val="center"/>
          </w:tcPr>
          <w:p w14:paraId="74E623C3">
            <w:pPr>
              <w:spacing w:line="400" w:lineRule="exact"/>
              <w:ind w:right="-48"/>
              <w:jc w:val="center"/>
              <w:rPr>
                <w:rFonts w:hint="eastAsia" w:ascii="宋体" w:hAnsi="宋体" w:eastAsiaTheme="minorEastAsia"/>
                <w:bCs/>
                <w:color w:val="FF0000"/>
                <w:sz w:val="21"/>
                <w:szCs w:val="21"/>
                <w:lang w:eastAsia="zh-CN"/>
              </w:rPr>
            </w:pPr>
            <w:r>
              <w:rPr>
                <w:rFonts w:hint="eastAsia" w:ascii="宋体" w:hAnsi="宋体"/>
                <w:bCs/>
                <w:color w:val="FF0000"/>
                <w:sz w:val="21"/>
                <w:szCs w:val="21"/>
              </w:rPr>
              <w:t>1</w:t>
            </w:r>
            <w:r>
              <w:rPr>
                <w:rFonts w:hint="eastAsia" w:ascii="宋体" w:hAnsi="宋体"/>
                <w:bCs/>
                <w:color w:val="FF0000"/>
                <w:sz w:val="21"/>
                <w:szCs w:val="21"/>
                <w:lang w:val="en-US" w:eastAsia="zh-CN"/>
              </w:rPr>
              <w:t>9</w:t>
            </w:r>
          </w:p>
        </w:tc>
        <w:tc>
          <w:tcPr>
            <w:tcW w:w="4109" w:type="dxa"/>
            <w:gridSpan w:val="7"/>
            <w:tcBorders>
              <w:top w:val="single" w:color="auto" w:sz="4" w:space="0"/>
              <w:left w:val="single" w:color="auto" w:sz="4" w:space="0"/>
              <w:bottom w:val="single" w:color="auto" w:sz="4" w:space="0"/>
              <w:right w:val="single" w:color="auto" w:sz="4" w:space="0"/>
            </w:tcBorders>
            <w:noWrap w:val="0"/>
            <w:vAlign w:val="center"/>
          </w:tcPr>
          <w:p w14:paraId="633A7C48">
            <w:pPr>
              <w:spacing w:line="400" w:lineRule="exact"/>
              <w:ind w:right="-48"/>
              <w:rPr>
                <w:rFonts w:hint="eastAsia" w:ascii="宋体" w:hAnsi="宋体" w:eastAsiaTheme="minorEastAsia"/>
                <w:bCs/>
                <w:color w:val="FF0000"/>
                <w:sz w:val="21"/>
                <w:szCs w:val="21"/>
                <w:lang w:eastAsia="zh-CN"/>
              </w:rPr>
            </w:pPr>
            <w:r>
              <w:rPr>
                <w:rFonts w:hint="eastAsia" w:ascii="宋体" w:hAnsi="宋体"/>
                <w:bCs/>
                <w:color w:val="FF0000"/>
                <w:sz w:val="21"/>
                <w:szCs w:val="21"/>
              </w:rPr>
              <w:t>未在规定时间时间内</w:t>
            </w:r>
            <w:r>
              <w:rPr>
                <w:rFonts w:hint="eastAsia" w:ascii="宋体" w:hAnsi="宋体"/>
                <w:bCs/>
                <w:color w:val="FF0000"/>
                <w:sz w:val="21"/>
                <w:szCs w:val="21"/>
                <w:lang w:eastAsia="zh-CN"/>
              </w:rPr>
              <w:t>（</w:t>
            </w:r>
            <w:r>
              <w:rPr>
                <w:rFonts w:hint="eastAsia" w:ascii="宋体" w:hAnsi="宋体"/>
                <w:bCs/>
                <w:color w:val="FF0000"/>
                <w:sz w:val="21"/>
                <w:szCs w:val="21"/>
                <w:lang w:val="en-US" w:eastAsia="zh-CN"/>
              </w:rPr>
              <w:t>7</w:t>
            </w:r>
            <w:bookmarkStart w:id="3" w:name="_GoBack"/>
            <w:bookmarkEnd w:id="3"/>
            <w:r>
              <w:rPr>
                <w:rFonts w:hint="eastAsia" w:ascii="宋体" w:hAnsi="宋体"/>
                <w:bCs/>
                <w:color w:val="FF0000"/>
                <w:sz w:val="21"/>
                <w:szCs w:val="21"/>
                <w:lang w:val="en-US" w:eastAsia="zh-CN"/>
              </w:rPr>
              <w:t>分钟</w:t>
            </w:r>
            <w:r>
              <w:rPr>
                <w:rFonts w:hint="eastAsia" w:ascii="宋体" w:hAnsi="宋体"/>
                <w:bCs/>
                <w:color w:val="FF0000"/>
                <w:sz w:val="21"/>
                <w:szCs w:val="21"/>
                <w:lang w:eastAsia="zh-CN"/>
              </w:rPr>
              <w:t>）</w:t>
            </w:r>
            <w:r>
              <w:rPr>
                <w:rFonts w:hint="eastAsia" w:ascii="宋体" w:hAnsi="宋体"/>
                <w:bCs/>
                <w:color w:val="FF0000"/>
                <w:sz w:val="21"/>
                <w:szCs w:val="21"/>
              </w:rPr>
              <w:t>完成</w:t>
            </w:r>
            <w:r>
              <w:rPr>
                <w:rFonts w:hint="eastAsia" w:ascii="宋体" w:hAnsi="宋体"/>
                <w:bCs/>
                <w:color w:val="FF0000"/>
                <w:sz w:val="21"/>
                <w:szCs w:val="21"/>
                <w:lang w:eastAsia="zh-CN"/>
              </w:rPr>
              <w:t>操作</w:t>
            </w:r>
          </w:p>
        </w:tc>
        <w:tc>
          <w:tcPr>
            <w:tcW w:w="2479" w:type="dxa"/>
            <w:gridSpan w:val="3"/>
            <w:tcBorders>
              <w:top w:val="single" w:color="auto" w:sz="4" w:space="0"/>
              <w:left w:val="single" w:color="auto" w:sz="4" w:space="0"/>
              <w:bottom w:val="single" w:color="000000" w:sz="4" w:space="0"/>
              <w:right w:val="single" w:color="auto" w:sz="4" w:space="0"/>
            </w:tcBorders>
            <w:noWrap w:val="0"/>
            <w:vAlign w:val="center"/>
          </w:tcPr>
          <w:p w14:paraId="1C7A0609">
            <w:pPr>
              <w:spacing w:line="400" w:lineRule="exact"/>
              <w:ind w:right="-48"/>
              <w:rPr>
                <w:rFonts w:ascii="宋体" w:hAnsi="宋体"/>
                <w:bCs/>
                <w:color w:val="FF0000"/>
                <w:sz w:val="21"/>
                <w:szCs w:val="21"/>
              </w:rPr>
            </w:pPr>
            <w:r>
              <w:rPr>
                <w:rFonts w:hint="eastAsia" w:ascii="宋体" w:hAnsi="宋体"/>
                <w:bCs/>
                <w:color w:val="FF0000"/>
                <w:sz w:val="21"/>
                <w:szCs w:val="21"/>
              </w:rPr>
              <w:t>无成绩</w:t>
            </w:r>
          </w:p>
        </w:tc>
        <w:tc>
          <w:tcPr>
            <w:tcW w:w="1050" w:type="dxa"/>
            <w:tcBorders>
              <w:left w:val="nil"/>
              <w:bottom w:val="single" w:color="auto" w:sz="4" w:space="0"/>
              <w:right w:val="single" w:color="auto" w:sz="4" w:space="0"/>
            </w:tcBorders>
            <w:noWrap w:val="0"/>
            <w:vAlign w:val="center"/>
          </w:tcPr>
          <w:p w14:paraId="778C8721">
            <w:pPr>
              <w:spacing w:line="400" w:lineRule="exact"/>
              <w:ind w:right="-48"/>
              <w:jc w:val="center"/>
              <w:rPr>
                <w:rFonts w:hint="eastAsia" w:ascii="宋体" w:hAnsi="宋体"/>
                <w:bCs/>
                <w:color w:val="FF0000"/>
                <w:sz w:val="21"/>
                <w:szCs w:val="21"/>
              </w:rPr>
            </w:pPr>
          </w:p>
        </w:tc>
        <w:tc>
          <w:tcPr>
            <w:tcW w:w="768" w:type="dxa"/>
            <w:tcBorders>
              <w:left w:val="nil"/>
              <w:bottom w:val="single" w:color="auto" w:sz="4" w:space="0"/>
              <w:right w:val="single" w:color="auto" w:sz="4" w:space="0"/>
            </w:tcBorders>
            <w:noWrap w:val="0"/>
            <w:vAlign w:val="center"/>
          </w:tcPr>
          <w:p w14:paraId="2F69F5D2">
            <w:pPr>
              <w:spacing w:line="400" w:lineRule="exact"/>
              <w:ind w:left="-214" w:leftChars="-102" w:right="-48"/>
              <w:jc w:val="center"/>
              <w:rPr>
                <w:rFonts w:hint="eastAsia" w:ascii="宋体" w:hAnsi="宋体"/>
                <w:bCs/>
                <w:color w:val="FF0000"/>
                <w:sz w:val="21"/>
                <w:szCs w:val="21"/>
              </w:rPr>
            </w:pPr>
          </w:p>
        </w:tc>
      </w:tr>
      <w:tr w14:paraId="0B15CA1C">
        <w:tblPrEx>
          <w:tblCellMar>
            <w:top w:w="0" w:type="dxa"/>
            <w:left w:w="108" w:type="dxa"/>
            <w:bottom w:w="0" w:type="dxa"/>
            <w:right w:w="108" w:type="dxa"/>
          </w:tblCellMar>
        </w:tblPrEx>
        <w:trPr>
          <w:trHeight w:val="411" w:hRule="atLeast"/>
        </w:trPr>
        <w:tc>
          <w:tcPr>
            <w:tcW w:w="706" w:type="dxa"/>
            <w:tcBorders>
              <w:top w:val="single" w:color="auto" w:sz="4" w:space="0"/>
              <w:left w:val="single" w:color="auto" w:sz="4" w:space="0"/>
              <w:bottom w:val="single" w:color="auto" w:sz="4" w:space="0"/>
              <w:right w:val="single" w:color="auto" w:sz="4" w:space="0"/>
            </w:tcBorders>
            <w:noWrap w:val="0"/>
            <w:vAlign w:val="center"/>
          </w:tcPr>
          <w:p w14:paraId="75BCFF0D">
            <w:pPr>
              <w:spacing w:line="400" w:lineRule="exact"/>
              <w:ind w:right="-48"/>
              <w:jc w:val="center"/>
              <w:rPr>
                <w:rFonts w:hint="default" w:ascii="宋体" w:hAnsi="宋体" w:eastAsiaTheme="minorEastAsia"/>
                <w:bCs/>
                <w:color w:val="FF0000"/>
                <w:sz w:val="21"/>
                <w:szCs w:val="21"/>
                <w:lang w:val="en-US" w:eastAsia="zh-CN"/>
              </w:rPr>
            </w:pPr>
            <w:r>
              <w:rPr>
                <w:rFonts w:hint="eastAsia" w:ascii="宋体" w:hAnsi="宋体"/>
                <w:bCs/>
                <w:color w:val="FF0000"/>
                <w:sz w:val="21"/>
                <w:szCs w:val="21"/>
                <w:lang w:val="en-US" w:eastAsia="zh-CN"/>
              </w:rPr>
              <w:t>20</w:t>
            </w:r>
          </w:p>
        </w:tc>
        <w:tc>
          <w:tcPr>
            <w:tcW w:w="4109" w:type="dxa"/>
            <w:gridSpan w:val="7"/>
            <w:tcBorders>
              <w:top w:val="single" w:color="auto" w:sz="4" w:space="0"/>
              <w:left w:val="single" w:color="auto" w:sz="4" w:space="0"/>
              <w:bottom w:val="single" w:color="auto" w:sz="4" w:space="0"/>
              <w:right w:val="single" w:color="auto" w:sz="4" w:space="0"/>
            </w:tcBorders>
            <w:noWrap w:val="0"/>
            <w:vAlign w:val="center"/>
          </w:tcPr>
          <w:p w14:paraId="43B1FDDF">
            <w:pPr>
              <w:spacing w:line="400" w:lineRule="exact"/>
              <w:ind w:right="-48"/>
              <w:rPr>
                <w:rFonts w:ascii="宋体" w:hAnsi="宋体"/>
                <w:bCs/>
                <w:color w:val="FF0000"/>
                <w:sz w:val="21"/>
                <w:szCs w:val="21"/>
              </w:rPr>
            </w:pPr>
            <w:r>
              <w:rPr>
                <w:rFonts w:hint="eastAsia" w:ascii="宋体" w:hAnsi="宋体"/>
                <w:bCs/>
                <w:color w:val="FF0000"/>
                <w:sz w:val="21"/>
                <w:szCs w:val="21"/>
              </w:rPr>
              <w:t>严重违规或技术生疏，不能有效控制车辆</w:t>
            </w:r>
          </w:p>
        </w:tc>
        <w:tc>
          <w:tcPr>
            <w:tcW w:w="2479" w:type="dxa"/>
            <w:gridSpan w:val="3"/>
            <w:tcBorders>
              <w:top w:val="single" w:color="auto" w:sz="4" w:space="0"/>
              <w:left w:val="single" w:color="auto" w:sz="4" w:space="0"/>
              <w:bottom w:val="single" w:color="000000" w:sz="4" w:space="0"/>
              <w:right w:val="single" w:color="auto" w:sz="4" w:space="0"/>
            </w:tcBorders>
            <w:noWrap w:val="0"/>
            <w:vAlign w:val="center"/>
          </w:tcPr>
          <w:p w14:paraId="298EB484">
            <w:pPr>
              <w:spacing w:line="400" w:lineRule="exact"/>
              <w:ind w:right="-48"/>
              <w:rPr>
                <w:rFonts w:ascii="宋体" w:hAnsi="宋体"/>
                <w:bCs/>
                <w:color w:val="FF0000"/>
                <w:sz w:val="21"/>
                <w:szCs w:val="21"/>
              </w:rPr>
            </w:pPr>
            <w:r>
              <w:rPr>
                <w:rFonts w:hint="eastAsia" w:ascii="宋体" w:hAnsi="宋体"/>
                <w:bCs/>
                <w:color w:val="FF0000"/>
                <w:sz w:val="21"/>
                <w:szCs w:val="21"/>
              </w:rPr>
              <w:t>终止比赛，取消该项目成绩</w:t>
            </w:r>
          </w:p>
        </w:tc>
        <w:tc>
          <w:tcPr>
            <w:tcW w:w="1050" w:type="dxa"/>
            <w:tcBorders>
              <w:left w:val="nil"/>
              <w:bottom w:val="single" w:color="auto" w:sz="4" w:space="0"/>
              <w:right w:val="single" w:color="auto" w:sz="4" w:space="0"/>
            </w:tcBorders>
            <w:noWrap w:val="0"/>
            <w:vAlign w:val="center"/>
          </w:tcPr>
          <w:p w14:paraId="64D07E9E">
            <w:pPr>
              <w:spacing w:line="400" w:lineRule="exact"/>
              <w:ind w:right="-48"/>
              <w:jc w:val="center"/>
              <w:rPr>
                <w:rFonts w:hint="eastAsia" w:ascii="宋体" w:hAnsi="宋体"/>
                <w:bCs/>
                <w:color w:val="FF0000"/>
                <w:sz w:val="21"/>
                <w:szCs w:val="21"/>
              </w:rPr>
            </w:pPr>
          </w:p>
        </w:tc>
        <w:tc>
          <w:tcPr>
            <w:tcW w:w="768" w:type="dxa"/>
            <w:tcBorders>
              <w:left w:val="nil"/>
              <w:bottom w:val="single" w:color="auto" w:sz="4" w:space="0"/>
              <w:right w:val="single" w:color="auto" w:sz="4" w:space="0"/>
            </w:tcBorders>
            <w:noWrap w:val="0"/>
            <w:vAlign w:val="center"/>
          </w:tcPr>
          <w:p w14:paraId="59C57708">
            <w:pPr>
              <w:spacing w:line="400" w:lineRule="exact"/>
              <w:ind w:left="-214" w:leftChars="-102" w:right="-48"/>
              <w:jc w:val="center"/>
              <w:rPr>
                <w:rFonts w:hint="eastAsia" w:ascii="宋体" w:hAnsi="宋体"/>
                <w:bCs/>
                <w:color w:val="FF0000"/>
                <w:sz w:val="21"/>
                <w:szCs w:val="21"/>
              </w:rPr>
            </w:pPr>
          </w:p>
        </w:tc>
      </w:tr>
      <w:tr w14:paraId="7DD1E18C">
        <w:tblPrEx>
          <w:tblCellMar>
            <w:top w:w="0" w:type="dxa"/>
            <w:left w:w="108" w:type="dxa"/>
            <w:bottom w:w="0" w:type="dxa"/>
            <w:right w:w="108" w:type="dxa"/>
          </w:tblCellMar>
        </w:tblPrEx>
        <w:trPr>
          <w:trHeight w:val="411" w:hRule="atLeast"/>
        </w:trPr>
        <w:tc>
          <w:tcPr>
            <w:tcW w:w="706" w:type="dxa"/>
            <w:tcBorders>
              <w:top w:val="single" w:color="auto" w:sz="4" w:space="0"/>
              <w:left w:val="single" w:color="auto" w:sz="4" w:space="0"/>
              <w:bottom w:val="single" w:color="auto" w:sz="4" w:space="0"/>
              <w:right w:val="single" w:color="auto" w:sz="4" w:space="0"/>
            </w:tcBorders>
            <w:noWrap w:val="0"/>
            <w:vAlign w:val="center"/>
          </w:tcPr>
          <w:p w14:paraId="13F8C02E">
            <w:pPr>
              <w:spacing w:line="400" w:lineRule="exact"/>
              <w:ind w:right="-48"/>
              <w:jc w:val="center"/>
              <w:rPr>
                <w:rFonts w:hint="eastAsia" w:ascii="宋体" w:hAnsi="宋体" w:eastAsiaTheme="minorEastAsia"/>
                <w:bCs/>
                <w:color w:val="FF0000"/>
                <w:sz w:val="21"/>
                <w:szCs w:val="21"/>
                <w:lang w:eastAsia="zh-CN"/>
              </w:rPr>
            </w:pPr>
            <w:r>
              <w:rPr>
                <w:rFonts w:hint="eastAsia" w:ascii="宋体" w:hAnsi="宋体"/>
                <w:bCs/>
                <w:color w:val="FF0000"/>
                <w:sz w:val="21"/>
                <w:szCs w:val="21"/>
              </w:rPr>
              <w:t>2</w:t>
            </w:r>
            <w:r>
              <w:rPr>
                <w:rFonts w:hint="eastAsia" w:ascii="宋体" w:hAnsi="宋体"/>
                <w:bCs/>
                <w:color w:val="FF0000"/>
                <w:sz w:val="21"/>
                <w:szCs w:val="21"/>
                <w:lang w:val="en-US" w:eastAsia="zh-CN"/>
              </w:rPr>
              <w:t>1</w:t>
            </w:r>
          </w:p>
        </w:tc>
        <w:tc>
          <w:tcPr>
            <w:tcW w:w="4109" w:type="dxa"/>
            <w:gridSpan w:val="7"/>
            <w:tcBorders>
              <w:top w:val="single" w:color="auto" w:sz="4" w:space="0"/>
              <w:left w:val="single" w:color="auto" w:sz="4" w:space="0"/>
              <w:bottom w:val="single" w:color="auto" w:sz="4" w:space="0"/>
              <w:right w:val="single" w:color="auto" w:sz="4" w:space="0"/>
            </w:tcBorders>
            <w:noWrap w:val="0"/>
            <w:vAlign w:val="center"/>
          </w:tcPr>
          <w:p w14:paraId="54E6DAEA">
            <w:pPr>
              <w:spacing w:line="400" w:lineRule="exact"/>
              <w:ind w:right="-48"/>
              <w:rPr>
                <w:rFonts w:hint="eastAsia" w:ascii="宋体" w:hAnsi="宋体"/>
                <w:bCs/>
                <w:color w:val="FF0000"/>
                <w:sz w:val="21"/>
                <w:szCs w:val="21"/>
              </w:rPr>
            </w:pPr>
            <w:r>
              <w:rPr>
                <w:rFonts w:hint="eastAsia" w:ascii="宋体" w:hAnsi="宋体"/>
                <w:bCs/>
                <w:color w:val="FF0000"/>
                <w:sz w:val="21"/>
                <w:szCs w:val="21"/>
                <w:lang w:eastAsia="zh-CN"/>
              </w:rPr>
              <w:t>操作中货箱</w:t>
            </w:r>
            <w:r>
              <w:rPr>
                <w:rFonts w:hint="eastAsia" w:ascii="宋体" w:hAnsi="宋体"/>
                <w:bCs/>
                <w:color w:val="FF0000"/>
                <w:sz w:val="21"/>
                <w:szCs w:val="21"/>
              </w:rPr>
              <w:t>倒塌，按操作事故处理</w:t>
            </w:r>
          </w:p>
        </w:tc>
        <w:tc>
          <w:tcPr>
            <w:tcW w:w="2479" w:type="dxa"/>
            <w:gridSpan w:val="3"/>
            <w:tcBorders>
              <w:top w:val="single" w:color="auto" w:sz="4" w:space="0"/>
              <w:left w:val="single" w:color="auto" w:sz="4" w:space="0"/>
              <w:bottom w:val="single" w:color="000000" w:sz="4" w:space="0"/>
              <w:right w:val="single" w:color="auto" w:sz="4" w:space="0"/>
            </w:tcBorders>
            <w:noWrap w:val="0"/>
            <w:vAlign w:val="center"/>
          </w:tcPr>
          <w:p w14:paraId="117758A1">
            <w:pPr>
              <w:spacing w:line="400" w:lineRule="exact"/>
              <w:ind w:right="-48"/>
              <w:rPr>
                <w:rFonts w:hint="eastAsia" w:ascii="宋体" w:hAnsi="宋体"/>
                <w:bCs/>
                <w:color w:val="FF0000"/>
                <w:sz w:val="21"/>
                <w:szCs w:val="21"/>
              </w:rPr>
            </w:pPr>
            <w:r>
              <w:rPr>
                <w:rFonts w:hint="eastAsia" w:ascii="宋体" w:hAnsi="宋体"/>
                <w:bCs/>
                <w:color w:val="FF0000"/>
                <w:sz w:val="21"/>
                <w:szCs w:val="21"/>
              </w:rPr>
              <w:t>成绩为零分</w:t>
            </w:r>
          </w:p>
        </w:tc>
        <w:tc>
          <w:tcPr>
            <w:tcW w:w="1050" w:type="dxa"/>
            <w:tcBorders>
              <w:left w:val="nil"/>
              <w:bottom w:val="single" w:color="auto" w:sz="4" w:space="0"/>
              <w:right w:val="single" w:color="auto" w:sz="4" w:space="0"/>
            </w:tcBorders>
            <w:noWrap w:val="0"/>
            <w:vAlign w:val="center"/>
          </w:tcPr>
          <w:p w14:paraId="2A50A78E">
            <w:pPr>
              <w:spacing w:line="400" w:lineRule="exact"/>
              <w:ind w:right="-48"/>
              <w:jc w:val="center"/>
              <w:rPr>
                <w:rFonts w:hint="eastAsia" w:ascii="宋体" w:hAnsi="宋体"/>
                <w:bCs/>
                <w:color w:val="FF0000"/>
                <w:sz w:val="21"/>
                <w:szCs w:val="21"/>
              </w:rPr>
            </w:pPr>
          </w:p>
        </w:tc>
        <w:tc>
          <w:tcPr>
            <w:tcW w:w="768" w:type="dxa"/>
            <w:tcBorders>
              <w:left w:val="nil"/>
              <w:bottom w:val="single" w:color="auto" w:sz="4" w:space="0"/>
              <w:right w:val="single" w:color="auto" w:sz="4" w:space="0"/>
            </w:tcBorders>
            <w:noWrap w:val="0"/>
            <w:vAlign w:val="center"/>
          </w:tcPr>
          <w:p w14:paraId="29B2ECC8">
            <w:pPr>
              <w:spacing w:line="400" w:lineRule="exact"/>
              <w:ind w:left="-214" w:leftChars="-102" w:right="-48"/>
              <w:jc w:val="center"/>
              <w:rPr>
                <w:rFonts w:hint="eastAsia" w:ascii="宋体" w:hAnsi="宋体"/>
                <w:bCs/>
                <w:color w:val="FF0000"/>
                <w:sz w:val="21"/>
                <w:szCs w:val="21"/>
              </w:rPr>
            </w:pPr>
          </w:p>
        </w:tc>
      </w:tr>
      <w:tr w14:paraId="04D9437C">
        <w:tblPrEx>
          <w:tblCellMar>
            <w:top w:w="0" w:type="dxa"/>
            <w:left w:w="108" w:type="dxa"/>
            <w:bottom w:w="0" w:type="dxa"/>
            <w:right w:w="108" w:type="dxa"/>
          </w:tblCellMar>
        </w:tblPrEx>
        <w:trPr>
          <w:trHeight w:val="316" w:hRule="atLeast"/>
        </w:trPr>
        <w:tc>
          <w:tcPr>
            <w:tcW w:w="7294" w:type="dxa"/>
            <w:gridSpan w:val="11"/>
            <w:tcBorders>
              <w:top w:val="single" w:color="auto" w:sz="4" w:space="0"/>
              <w:left w:val="single" w:color="auto" w:sz="4" w:space="0"/>
              <w:bottom w:val="single" w:color="auto" w:sz="4" w:space="0"/>
              <w:right w:val="single" w:color="auto" w:sz="4" w:space="0"/>
            </w:tcBorders>
            <w:noWrap w:val="0"/>
            <w:vAlign w:val="center"/>
          </w:tcPr>
          <w:p w14:paraId="46A77DA3">
            <w:pPr>
              <w:spacing w:line="400" w:lineRule="exact"/>
              <w:ind w:right="-48"/>
              <w:jc w:val="center"/>
              <w:rPr>
                <w:rFonts w:hint="eastAsia" w:ascii="宋体" w:hAnsi="宋体"/>
                <w:bCs/>
                <w:color w:val="FF0000"/>
                <w:sz w:val="21"/>
                <w:szCs w:val="21"/>
              </w:rPr>
            </w:pPr>
            <w:r>
              <w:rPr>
                <w:rFonts w:hint="eastAsia" w:ascii="宋体" w:hAnsi="宋体"/>
                <w:bCs/>
                <w:color w:val="FF0000"/>
                <w:sz w:val="21"/>
                <w:szCs w:val="21"/>
              </w:rPr>
              <w:t>成    绩（分）</w:t>
            </w:r>
          </w:p>
        </w:tc>
        <w:tc>
          <w:tcPr>
            <w:tcW w:w="1818" w:type="dxa"/>
            <w:gridSpan w:val="2"/>
            <w:tcBorders>
              <w:top w:val="single" w:color="auto" w:sz="4" w:space="0"/>
              <w:left w:val="single" w:color="auto" w:sz="4" w:space="0"/>
              <w:bottom w:val="single" w:color="auto" w:sz="4" w:space="0"/>
              <w:right w:val="single" w:color="auto" w:sz="4" w:space="0"/>
            </w:tcBorders>
            <w:noWrap w:val="0"/>
            <w:vAlign w:val="center"/>
          </w:tcPr>
          <w:p w14:paraId="77CE71A6">
            <w:pPr>
              <w:spacing w:line="400" w:lineRule="exact"/>
              <w:ind w:right="-48"/>
              <w:jc w:val="center"/>
              <w:rPr>
                <w:rFonts w:ascii="宋体" w:hAnsi="宋体"/>
                <w:bCs/>
                <w:color w:val="FF0000"/>
                <w:sz w:val="21"/>
                <w:szCs w:val="21"/>
              </w:rPr>
            </w:pPr>
          </w:p>
        </w:tc>
      </w:tr>
      <w:tr w14:paraId="6BDD05C7">
        <w:tblPrEx>
          <w:tblCellMar>
            <w:top w:w="0" w:type="dxa"/>
            <w:left w:w="108" w:type="dxa"/>
            <w:bottom w:w="0" w:type="dxa"/>
            <w:right w:w="108" w:type="dxa"/>
          </w:tblCellMar>
        </w:tblPrEx>
        <w:trPr>
          <w:trHeight w:val="530" w:hRule="atLeast"/>
        </w:trPr>
        <w:tc>
          <w:tcPr>
            <w:tcW w:w="1200" w:type="dxa"/>
            <w:gridSpan w:val="3"/>
            <w:tcBorders>
              <w:top w:val="single" w:color="auto" w:sz="4" w:space="0"/>
              <w:left w:val="single" w:color="auto" w:sz="4" w:space="0"/>
              <w:bottom w:val="single" w:color="auto" w:sz="4" w:space="0"/>
              <w:right w:val="single" w:color="auto" w:sz="4" w:space="0"/>
            </w:tcBorders>
            <w:noWrap w:val="0"/>
            <w:vAlign w:val="center"/>
          </w:tcPr>
          <w:p w14:paraId="519DAABF">
            <w:pPr>
              <w:spacing w:line="400" w:lineRule="exact"/>
              <w:ind w:right="-48"/>
              <w:jc w:val="center"/>
              <w:rPr>
                <w:rFonts w:ascii="宋体" w:hAnsi="宋体"/>
                <w:bCs/>
                <w:color w:val="FF0000"/>
                <w:sz w:val="21"/>
                <w:szCs w:val="21"/>
              </w:rPr>
            </w:pPr>
            <w:r>
              <w:rPr>
                <w:rFonts w:hint="eastAsia" w:ascii="宋体" w:hAnsi="宋体"/>
                <w:bCs/>
                <w:color w:val="FF0000"/>
                <w:sz w:val="21"/>
                <w:szCs w:val="21"/>
                <w:lang w:val="en-US" w:eastAsia="zh-CN"/>
              </w:rPr>
              <w:t>裁判</w:t>
            </w:r>
            <w:r>
              <w:rPr>
                <w:rFonts w:hint="eastAsia" w:ascii="宋体" w:hAnsi="宋体"/>
                <w:bCs/>
                <w:color w:val="FF0000"/>
                <w:sz w:val="21"/>
                <w:szCs w:val="21"/>
              </w:rPr>
              <w:t>员</w:t>
            </w: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7B9A2B04">
            <w:pPr>
              <w:spacing w:line="400" w:lineRule="exact"/>
              <w:ind w:right="-48"/>
              <w:jc w:val="center"/>
              <w:rPr>
                <w:rFonts w:ascii="宋体" w:hAnsi="宋体"/>
                <w:bCs/>
                <w:color w:val="FF0000"/>
                <w:sz w:val="21"/>
                <w:szCs w:val="21"/>
              </w:rPr>
            </w:pPr>
          </w:p>
        </w:tc>
        <w:tc>
          <w:tcPr>
            <w:tcW w:w="1080" w:type="dxa"/>
            <w:gridSpan w:val="2"/>
            <w:tcBorders>
              <w:top w:val="single" w:color="auto" w:sz="4" w:space="0"/>
              <w:left w:val="nil"/>
              <w:bottom w:val="single" w:color="auto" w:sz="4" w:space="0"/>
              <w:right w:val="single" w:color="auto" w:sz="4" w:space="0"/>
            </w:tcBorders>
            <w:noWrap w:val="0"/>
            <w:vAlign w:val="center"/>
          </w:tcPr>
          <w:p w14:paraId="7F879FC0">
            <w:pPr>
              <w:spacing w:line="400" w:lineRule="exact"/>
              <w:ind w:left="-108" w:right="-48"/>
              <w:jc w:val="center"/>
              <w:rPr>
                <w:rFonts w:ascii="宋体" w:hAnsi="宋体"/>
                <w:bCs/>
                <w:color w:val="FF0000"/>
                <w:sz w:val="21"/>
                <w:szCs w:val="21"/>
              </w:rPr>
            </w:pPr>
            <w:r>
              <w:rPr>
                <w:rFonts w:hint="eastAsia" w:ascii="宋体" w:hAnsi="宋体"/>
                <w:bCs/>
                <w:color w:val="FF0000"/>
                <w:sz w:val="21"/>
                <w:szCs w:val="21"/>
              </w:rPr>
              <w:t>计时员</w:t>
            </w:r>
          </w:p>
        </w:tc>
        <w:tc>
          <w:tcPr>
            <w:tcW w:w="1620" w:type="dxa"/>
            <w:gridSpan w:val="3"/>
            <w:tcBorders>
              <w:top w:val="single" w:color="auto" w:sz="4" w:space="0"/>
              <w:left w:val="nil"/>
              <w:bottom w:val="single" w:color="auto" w:sz="4" w:space="0"/>
              <w:right w:val="single" w:color="auto" w:sz="4" w:space="0"/>
            </w:tcBorders>
            <w:noWrap w:val="0"/>
            <w:vAlign w:val="center"/>
          </w:tcPr>
          <w:p w14:paraId="15ADDB75">
            <w:pPr>
              <w:spacing w:line="400" w:lineRule="exact"/>
              <w:ind w:left="-53" w:right="-48"/>
              <w:rPr>
                <w:rFonts w:ascii="宋体" w:hAnsi="宋体"/>
                <w:bCs/>
                <w:color w:val="FF0000"/>
                <w:sz w:val="21"/>
                <w:szCs w:val="21"/>
              </w:rPr>
            </w:pPr>
          </w:p>
        </w:tc>
        <w:tc>
          <w:tcPr>
            <w:tcW w:w="1594" w:type="dxa"/>
            <w:tcBorders>
              <w:top w:val="single" w:color="auto" w:sz="4" w:space="0"/>
              <w:left w:val="nil"/>
              <w:bottom w:val="single" w:color="auto" w:sz="4" w:space="0"/>
              <w:right w:val="single" w:color="auto" w:sz="4" w:space="0"/>
            </w:tcBorders>
            <w:noWrap w:val="0"/>
            <w:vAlign w:val="center"/>
          </w:tcPr>
          <w:p w14:paraId="06917CDA">
            <w:pPr>
              <w:spacing w:line="400" w:lineRule="exact"/>
              <w:ind w:left="-78" w:right="-48"/>
              <w:jc w:val="center"/>
              <w:rPr>
                <w:rFonts w:ascii="宋体" w:hAnsi="宋体"/>
                <w:bCs/>
                <w:color w:val="FF0000"/>
                <w:sz w:val="21"/>
                <w:szCs w:val="21"/>
              </w:rPr>
            </w:pPr>
            <w:r>
              <w:rPr>
                <w:rFonts w:hint="eastAsia" w:ascii="宋体" w:hAnsi="宋体"/>
                <w:bCs/>
                <w:color w:val="FF0000"/>
                <w:sz w:val="21"/>
                <w:szCs w:val="21"/>
              </w:rPr>
              <w:t>记分员</w:t>
            </w:r>
          </w:p>
        </w:tc>
        <w:tc>
          <w:tcPr>
            <w:tcW w:w="1818" w:type="dxa"/>
            <w:gridSpan w:val="2"/>
            <w:tcBorders>
              <w:top w:val="single" w:color="auto" w:sz="4" w:space="0"/>
              <w:left w:val="nil"/>
              <w:bottom w:val="single" w:color="auto" w:sz="4" w:space="0"/>
              <w:right w:val="single" w:color="auto" w:sz="4" w:space="0"/>
            </w:tcBorders>
            <w:noWrap w:val="0"/>
            <w:vAlign w:val="center"/>
          </w:tcPr>
          <w:p w14:paraId="26B961D4">
            <w:pPr>
              <w:spacing w:line="400" w:lineRule="exact"/>
              <w:ind w:right="-48"/>
              <w:rPr>
                <w:rFonts w:ascii="宋体" w:hAnsi="宋体"/>
                <w:bCs/>
                <w:color w:val="FF0000"/>
                <w:sz w:val="21"/>
                <w:szCs w:val="21"/>
              </w:rPr>
            </w:pPr>
          </w:p>
        </w:tc>
      </w:tr>
    </w:tbl>
    <w:p w14:paraId="1A6FB00E">
      <w:pPr>
        <w:rPr>
          <w:sz w:val="28"/>
          <w:szCs w:val="28"/>
        </w:rPr>
      </w:pPr>
    </w:p>
    <w:p w14:paraId="6DDDBF8F">
      <w:pPr>
        <w:rPr>
          <w:sz w:val="28"/>
          <w:szCs w:val="28"/>
        </w:rPr>
      </w:pPr>
      <w:r>
        <w:rPr>
          <w:rFonts w:hint="eastAsia"/>
          <w:sz w:val="28"/>
          <w:szCs w:val="28"/>
        </w:rPr>
        <w:t>五、竞赛规则</w:t>
      </w:r>
    </w:p>
    <w:p w14:paraId="1FAC39AB">
      <w:pPr>
        <w:rPr>
          <w:sz w:val="28"/>
          <w:szCs w:val="28"/>
        </w:rPr>
      </w:pPr>
      <w:r>
        <w:rPr>
          <w:rFonts w:hint="eastAsia"/>
          <w:sz w:val="28"/>
          <w:szCs w:val="28"/>
        </w:rPr>
        <w:t>（一）熟悉场地与抽签</w:t>
      </w:r>
    </w:p>
    <w:p w14:paraId="7874D983">
      <w:pPr>
        <w:rPr>
          <w:sz w:val="28"/>
          <w:szCs w:val="28"/>
        </w:rPr>
      </w:pPr>
      <w:r>
        <w:rPr>
          <w:rFonts w:hint="eastAsia"/>
          <w:sz w:val="28"/>
          <w:szCs w:val="28"/>
        </w:rPr>
        <w:t>1.赛项安排在第一天上午抽签确定各参赛队的“抽签顺序号”和“实操出场顺序号”。抽签结束后，各参赛队熟悉比赛场地。</w:t>
      </w:r>
    </w:p>
    <w:p w14:paraId="1D55C986">
      <w:pPr>
        <w:rPr>
          <w:sz w:val="28"/>
          <w:szCs w:val="28"/>
        </w:rPr>
      </w:pPr>
      <w:r>
        <w:rPr>
          <w:rFonts w:hint="eastAsia"/>
          <w:sz w:val="28"/>
          <w:szCs w:val="28"/>
        </w:rPr>
        <w:t>2.每天各场次比赛前，同场次参赛队领队现场抽签，确定比赛工位。</w:t>
      </w:r>
    </w:p>
    <w:p w14:paraId="11944FA0">
      <w:pPr>
        <w:rPr>
          <w:sz w:val="28"/>
          <w:szCs w:val="28"/>
        </w:rPr>
      </w:pPr>
      <w:r>
        <w:rPr>
          <w:rFonts w:hint="eastAsia"/>
          <w:sz w:val="28"/>
          <w:szCs w:val="28"/>
        </w:rPr>
        <w:t>（二）赛场要求</w:t>
      </w:r>
    </w:p>
    <w:p w14:paraId="0632E05F">
      <w:pPr>
        <w:rPr>
          <w:sz w:val="28"/>
          <w:szCs w:val="28"/>
        </w:rPr>
      </w:pPr>
      <w:r>
        <w:rPr>
          <w:rFonts w:hint="eastAsia"/>
          <w:sz w:val="28"/>
          <w:szCs w:val="28"/>
        </w:rPr>
        <w:t>1.各参赛队须提前 30 分钟进行注册，在比赛期间实行封闭管理，参赛队迟到 5 分钟以弃权论。</w:t>
      </w:r>
    </w:p>
    <w:p w14:paraId="52523376">
      <w:pPr>
        <w:rPr>
          <w:sz w:val="28"/>
          <w:szCs w:val="28"/>
        </w:rPr>
      </w:pPr>
      <w:r>
        <w:rPr>
          <w:rFonts w:hint="eastAsia"/>
          <w:sz w:val="28"/>
          <w:szCs w:val="28"/>
        </w:rPr>
        <w:t>2.参赛选手不带任何参赛队及个人信息入场比赛，参赛选手不允许携带任何通讯及存储设备、纸质材料等物品进入赛场，赛场内提供必需用品。</w:t>
      </w:r>
    </w:p>
    <w:p w14:paraId="6D86AA3C">
      <w:pPr>
        <w:rPr>
          <w:sz w:val="28"/>
          <w:szCs w:val="28"/>
        </w:rPr>
      </w:pPr>
      <w:r>
        <w:rPr>
          <w:rFonts w:hint="eastAsia"/>
          <w:sz w:val="28"/>
          <w:szCs w:val="28"/>
        </w:rPr>
        <w:t>3.参赛选手进入赛场必须听从现场裁判人员的统一布置和安排，比赛期间必须严格遵守安全操作规程，确保人身和设备安全；</w:t>
      </w:r>
    </w:p>
    <w:p w14:paraId="06BF8661">
      <w:pPr>
        <w:rPr>
          <w:sz w:val="28"/>
          <w:szCs w:val="28"/>
        </w:rPr>
      </w:pPr>
      <w:r>
        <w:rPr>
          <w:rFonts w:hint="eastAsia"/>
          <w:sz w:val="28"/>
          <w:szCs w:val="28"/>
        </w:rPr>
        <w:t>4.比赛结束前 10 分钟，裁判长提醒比赛即将结束，当宣布比赛结束后，参赛选手必须马上停止一切操作，按要求位置站立等候撤离比赛工位指令。</w:t>
      </w:r>
    </w:p>
    <w:p w14:paraId="299F4924">
      <w:pPr>
        <w:rPr>
          <w:sz w:val="28"/>
          <w:szCs w:val="28"/>
        </w:rPr>
      </w:pPr>
      <w:r>
        <w:rPr>
          <w:rFonts w:hint="eastAsia"/>
          <w:sz w:val="28"/>
          <w:szCs w:val="28"/>
        </w:rPr>
        <w:t>5.参赛队提交的所有文件、单据等，凡要求参赛选手签字确认的，均签参赛队参赛抽签序号。</w:t>
      </w:r>
    </w:p>
    <w:p w14:paraId="6AE6AD8A">
      <w:pPr>
        <w:rPr>
          <w:sz w:val="28"/>
          <w:szCs w:val="28"/>
        </w:rPr>
      </w:pPr>
      <w:r>
        <w:rPr>
          <w:rFonts w:hint="eastAsia"/>
          <w:sz w:val="28"/>
          <w:szCs w:val="28"/>
        </w:rPr>
        <w:t>6.竞赛中出现不文明和不安全的现象、操作不规范、出现质量问题、分工协作不合理等现象，均按规定扣分。</w:t>
      </w:r>
    </w:p>
    <w:p w14:paraId="10E0E7A6">
      <w:pPr>
        <w:rPr>
          <w:sz w:val="28"/>
          <w:szCs w:val="28"/>
        </w:rPr>
      </w:pPr>
      <w:r>
        <w:rPr>
          <w:rFonts w:hint="eastAsia"/>
          <w:sz w:val="28"/>
          <w:szCs w:val="28"/>
        </w:rPr>
        <w:t>（三）成绩评定及公布</w:t>
      </w:r>
    </w:p>
    <w:p w14:paraId="4A67F9FF">
      <w:pPr>
        <w:rPr>
          <w:sz w:val="28"/>
          <w:szCs w:val="28"/>
        </w:rPr>
      </w:pPr>
      <w:r>
        <w:rPr>
          <w:rFonts w:hint="eastAsia"/>
          <w:sz w:val="28"/>
          <w:szCs w:val="28"/>
        </w:rPr>
        <w:t>1.大赛在赛项执委会领导下，赛项裁判组负责赛项成绩评定工作，参赛队成绩通过“三级审核”，确保比赛成绩准确无误。</w:t>
      </w:r>
    </w:p>
    <w:p w14:paraId="4F62C11E">
      <w:pPr>
        <w:rPr>
          <w:sz w:val="28"/>
          <w:szCs w:val="28"/>
        </w:rPr>
      </w:pPr>
      <w:r>
        <w:rPr>
          <w:rFonts w:hint="eastAsia"/>
          <w:sz w:val="28"/>
          <w:szCs w:val="28"/>
        </w:rPr>
        <w:t>2.大赛专家组负责大赛命题工作，比赛前通过抽签确定赛题。</w:t>
      </w:r>
    </w:p>
    <w:p w14:paraId="7114E6EE">
      <w:pPr>
        <w:rPr>
          <w:sz w:val="28"/>
          <w:szCs w:val="28"/>
        </w:rPr>
      </w:pPr>
      <w:r>
        <w:rPr>
          <w:rFonts w:hint="eastAsia"/>
          <w:sz w:val="28"/>
          <w:szCs w:val="28"/>
        </w:rPr>
        <w:t>3.裁判报到后，封闭管理。通过抽签方式，确定裁判执裁工位。</w:t>
      </w:r>
    </w:p>
    <w:p w14:paraId="14E641DF">
      <w:pPr>
        <w:rPr>
          <w:sz w:val="28"/>
          <w:szCs w:val="28"/>
        </w:rPr>
      </w:pPr>
      <w:r>
        <w:rPr>
          <w:rFonts w:hint="eastAsia"/>
          <w:sz w:val="28"/>
          <w:szCs w:val="28"/>
        </w:rPr>
        <w:t>4.为保证裁判执裁标准一致，裁判进行竞赛预演培训。</w:t>
      </w:r>
    </w:p>
    <w:p w14:paraId="7B0E6909">
      <w:pPr>
        <w:rPr>
          <w:sz w:val="28"/>
          <w:szCs w:val="28"/>
        </w:rPr>
      </w:pPr>
      <w:r>
        <w:rPr>
          <w:rFonts w:hint="eastAsia"/>
          <w:sz w:val="28"/>
          <w:szCs w:val="28"/>
        </w:rPr>
        <w:t>5.竞赛成绩原则上在所有竞赛完毕 3 小时后公布。</w:t>
      </w:r>
    </w:p>
    <w:p w14:paraId="13A2941A">
      <w:pPr>
        <w:rPr>
          <w:sz w:val="28"/>
          <w:szCs w:val="28"/>
        </w:rPr>
      </w:pPr>
      <w:r>
        <w:rPr>
          <w:rFonts w:hint="eastAsia"/>
          <w:sz w:val="28"/>
          <w:szCs w:val="28"/>
        </w:rPr>
        <w:t>6.其它未涉及事项或突发事件，由大赛组委会负责解释或决定。</w:t>
      </w:r>
    </w:p>
    <w:p w14:paraId="6F8995FE">
      <w:pPr>
        <w:rPr>
          <w:sz w:val="28"/>
          <w:szCs w:val="28"/>
        </w:rPr>
      </w:pPr>
      <w:r>
        <w:rPr>
          <w:rFonts w:hint="eastAsia"/>
          <w:sz w:val="28"/>
          <w:szCs w:val="28"/>
        </w:rPr>
        <w:t>六、奖项设定</w:t>
      </w:r>
    </w:p>
    <w:p w14:paraId="6C5A71E5">
      <w:pPr>
        <w:rPr>
          <w:sz w:val="28"/>
          <w:szCs w:val="28"/>
        </w:rPr>
      </w:pPr>
      <w:r>
        <w:rPr>
          <w:rFonts w:hint="eastAsia"/>
          <w:sz w:val="28"/>
          <w:szCs w:val="28"/>
        </w:rPr>
        <w:t>本次竞赛奖项设置如下：</w:t>
      </w:r>
    </w:p>
    <w:p w14:paraId="3A7472AE">
      <w:pPr>
        <w:rPr>
          <w:sz w:val="28"/>
          <w:szCs w:val="28"/>
        </w:rPr>
      </w:pPr>
      <w:r>
        <w:rPr>
          <w:rFonts w:hint="eastAsia"/>
          <w:sz w:val="28"/>
          <w:szCs w:val="28"/>
        </w:rPr>
        <w:t>（一）学生奖</w:t>
      </w:r>
    </w:p>
    <w:p w14:paraId="4C59021B">
      <w:pPr>
        <w:rPr>
          <w:sz w:val="28"/>
          <w:szCs w:val="28"/>
        </w:rPr>
      </w:pPr>
      <w:r>
        <w:rPr>
          <w:rFonts w:hint="eastAsia"/>
          <w:sz w:val="28"/>
          <w:szCs w:val="28"/>
        </w:rPr>
        <w:t>电动（燃油）叉车技能赛项设个人奖，一等奖占比 10%，二等奖占比</w:t>
      </w:r>
    </w:p>
    <w:p w14:paraId="44930EA3">
      <w:pPr>
        <w:rPr>
          <w:sz w:val="28"/>
          <w:szCs w:val="28"/>
        </w:rPr>
      </w:pPr>
      <w:r>
        <w:rPr>
          <w:rFonts w:hint="eastAsia"/>
          <w:sz w:val="28"/>
          <w:szCs w:val="28"/>
        </w:rPr>
        <w:t>20%，三等奖占比 30%（计算分数时保留小数点后两位）。</w:t>
      </w:r>
    </w:p>
    <w:p w14:paraId="3DEF455E">
      <w:pPr>
        <w:rPr>
          <w:sz w:val="28"/>
          <w:szCs w:val="28"/>
        </w:rPr>
      </w:pPr>
      <w:r>
        <w:rPr>
          <w:rFonts w:hint="eastAsia"/>
          <w:sz w:val="28"/>
          <w:szCs w:val="28"/>
        </w:rPr>
        <w:t>（二）教师奖</w:t>
      </w:r>
    </w:p>
    <w:p w14:paraId="15019939">
      <w:pPr>
        <w:rPr>
          <w:sz w:val="28"/>
          <w:szCs w:val="28"/>
        </w:rPr>
      </w:pPr>
      <w:r>
        <w:rPr>
          <w:rFonts w:hint="eastAsia"/>
          <w:sz w:val="28"/>
          <w:szCs w:val="28"/>
        </w:rPr>
        <w:t>电动（燃油）叉车技能赛项设个人奖，一等奖占比 10%，二等奖占比</w:t>
      </w:r>
    </w:p>
    <w:p w14:paraId="434718C6">
      <w:pPr>
        <w:rPr>
          <w:sz w:val="28"/>
          <w:szCs w:val="28"/>
        </w:rPr>
      </w:pPr>
      <w:r>
        <w:rPr>
          <w:rFonts w:hint="eastAsia"/>
          <w:sz w:val="28"/>
          <w:szCs w:val="28"/>
        </w:rPr>
        <w:t>20%，三等奖占比 30%（计算分数时保留小数点后两位）。</w:t>
      </w:r>
    </w:p>
    <w:p w14:paraId="04DBE95F">
      <w:pPr>
        <w:rPr>
          <w:sz w:val="28"/>
          <w:szCs w:val="28"/>
        </w:rPr>
      </w:pPr>
      <w:r>
        <w:rPr>
          <w:rFonts w:hint="eastAsia"/>
          <w:sz w:val="28"/>
          <w:szCs w:val="28"/>
        </w:rPr>
        <w:t>七、赛项安全</w:t>
      </w:r>
    </w:p>
    <w:p w14:paraId="17467C10">
      <w:pPr>
        <w:rPr>
          <w:sz w:val="28"/>
          <w:szCs w:val="28"/>
        </w:rPr>
      </w:pPr>
      <w:r>
        <w:rPr>
          <w:rFonts w:hint="eastAsia"/>
          <w:sz w:val="28"/>
          <w:szCs w:val="28"/>
        </w:rPr>
        <w:t>为确保赛项安全顺利地进行，保障各地参赛队师生的人身安全，及时有效地处理大赛期间突发安全事故，保证大赛安全有序地进行，特制定突发安全保障应急预案。</w:t>
      </w:r>
    </w:p>
    <w:p w14:paraId="01F69D26">
      <w:pPr>
        <w:rPr>
          <w:sz w:val="28"/>
          <w:szCs w:val="28"/>
        </w:rPr>
      </w:pPr>
      <w:r>
        <w:rPr>
          <w:rFonts w:hint="eastAsia"/>
          <w:sz w:val="28"/>
          <w:szCs w:val="28"/>
        </w:rPr>
        <w:t>（一）组织机构</w:t>
      </w:r>
    </w:p>
    <w:p w14:paraId="5D8392EE">
      <w:pPr>
        <w:rPr>
          <w:sz w:val="28"/>
          <w:szCs w:val="28"/>
        </w:rPr>
      </w:pPr>
      <w:r>
        <w:rPr>
          <w:rFonts w:hint="eastAsia"/>
          <w:sz w:val="28"/>
          <w:szCs w:val="28"/>
        </w:rPr>
        <w:t>1.成立大赛突发安全事故应急工作领导小组，由赛点总指挥任组长，副总指挥任副组长，成员由安保组组长、后勤保障组组长等人员组成。</w:t>
      </w:r>
    </w:p>
    <w:p w14:paraId="28C55F19">
      <w:pPr>
        <w:rPr>
          <w:sz w:val="28"/>
          <w:szCs w:val="28"/>
        </w:rPr>
      </w:pPr>
      <w:r>
        <w:rPr>
          <w:rFonts w:hint="eastAsia"/>
          <w:sz w:val="28"/>
          <w:szCs w:val="28"/>
        </w:rPr>
        <w:t>2.大赛突发安全事故应急工作领导小组职责统一指挥、协调和组织大赛期间突发安全事故的应急处理工作。制定各类突发事故的应对措施，重点做好火灾安全事故、交通安全事故、食物中毒安全事故、用电安全事故、医疗紧急病情的防范工作，组织各种突发事件的紧急处理，最大程度地避免次生事故，及时报告上级有关部门，做好各种事件的善后工作。</w:t>
      </w:r>
    </w:p>
    <w:p w14:paraId="78CD3BE8">
      <w:pPr>
        <w:rPr>
          <w:sz w:val="28"/>
          <w:szCs w:val="28"/>
        </w:rPr>
      </w:pPr>
      <w:r>
        <w:rPr>
          <w:rFonts w:hint="eastAsia"/>
          <w:sz w:val="28"/>
          <w:szCs w:val="28"/>
        </w:rPr>
        <w:t>（二）安全事故报告及处理程序</w:t>
      </w:r>
    </w:p>
    <w:p w14:paraId="5BA6F443">
      <w:pPr>
        <w:rPr>
          <w:sz w:val="28"/>
          <w:szCs w:val="28"/>
        </w:rPr>
      </w:pPr>
      <w:r>
        <w:rPr>
          <w:rFonts w:hint="eastAsia"/>
          <w:sz w:val="28"/>
          <w:szCs w:val="28"/>
        </w:rPr>
        <w:t>1.大赛过程中如遇突发安全事故后，有关人员必须立即向领导小组报告，并及时向有关部门报案请求援助。</w:t>
      </w:r>
    </w:p>
    <w:p w14:paraId="761E36F9">
      <w:pPr>
        <w:rPr>
          <w:sz w:val="28"/>
          <w:szCs w:val="28"/>
        </w:rPr>
      </w:pPr>
      <w:r>
        <w:rPr>
          <w:rFonts w:hint="eastAsia"/>
          <w:sz w:val="28"/>
          <w:szCs w:val="28"/>
        </w:rPr>
        <w:t>2.大赛过程中如遇突发安全事故后，本着“先控制、后处置、救人第一，减少损失”的原则，领导小组应果断处理，积极抢救，指导现场参赛师生离开危险区域，保护好大赛区域内的贵重物品，认真维护现场秩序，做好事故现场保护工作，做好善后处理工作。</w:t>
      </w:r>
    </w:p>
    <w:p w14:paraId="66D02782">
      <w:pPr>
        <w:rPr>
          <w:sz w:val="28"/>
          <w:szCs w:val="28"/>
        </w:rPr>
      </w:pPr>
      <w:r>
        <w:rPr>
          <w:rFonts w:hint="eastAsia"/>
          <w:sz w:val="28"/>
          <w:szCs w:val="28"/>
        </w:rPr>
        <w:t>3.大赛突发安全事故应急领导小组接到大赛突发安全事故报告后，立即到达事故现场，迅速组织抢救和善后处置，并根据事故情况及时向上级部门汇报。</w:t>
      </w:r>
    </w:p>
    <w:p w14:paraId="554A5813">
      <w:pPr>
        <w:rPr>
          <w:sz w:val="28"/>
          <w:szCs w:val="28"/>
        </w:rPr>
      </w:pPr>
      <w:r>
        <w:rPr>
          <w:rFonts w:hint="eastAsia"/>
          <w:sz w:val="28"/>
          <w:szCs w:val="28"/>
        </w:rPr>
        <w:t>4.大赛期间遇有突发或紧急情况，有关人员按赛场疏散图指示，由指定专人指引、带领及时做好疏散。</w:t>
      </w:r>
    </w:p>
    <w:p w14:paraId="2EDF3D7A">
      <w:pPr>
        <w:rPr>
          <w:sz w:val="28"/>
          <w:szCs w:val="28"/>
        </w:rPr>
      </w:pPr>
      <w:r>
        <w:rPr>
          <w:rFonts w:hint="eastAsia"/>
          <w:sz w:val="28"/>
          <w:szCs w:val="28"/>
        </w:rPr>
        <w:t>（三）大赛突发安全事故应急预案</w:t>
      </w:r>
    </w:p>
    <w:p w14:paraId="6350C2A0">
      <w:pPr>
        <w:rPr>
          <w:sz w:val="28"/>
          <w:szCs w:val="28"/>
        </w:rPr>
      </w:pPr>
      <w:r>
        <w:rPr>
          <w:rFonts w:hint="eastAsia"/>
          <w:sz w:val="28"/>
          <w:szCs w:val="28"/>
        </w:rPr>
        <w:t>1.重大火灾事故</w:t>
      </w:r>
    </w:p>
    <w:p w14:paraId="4D602EA6">
      <w:pPr>
        <w:rPr>
          <w:sz w:val="28"/>
          <w:szCs w:val="28"/>
        </w:rPr>
      </w:pPr>
      <w:r>
        <w:rPr>
          <w:rFonts w:hint="eastAsia"/>
          <w:sz w:val="28"/>
          <w:szCs w:val="28"/>
        </w:rPr>
        <w:t>（1）大赛赛场或人员密集场所一旦发生火险后，在场人员应立即报告应急领导小组，并同时拨打 119 报警，及时疏散在场人员有序撤到安全地带，安排做好消防人员车辆迎候。</w:t>
      </w:r>
    </w:p>
    <w:p w14:paraId="2C080333">
      <w:pPr>
        <w:rPr>
          <w:sz w:val="28"/>
          <w:szCs w:val="28"/>
        </w:rPr>
      </w:pPr>
      <w:r>
        <w:rPr>
          <w:rFonts w:hint="eastAsia"/>
          <w:sz w:val="28"/>
          <w:szCs w:val="28"/>
        </w:rPr>
        <w:t>（2）如果发生火灾后，在场人员应避免过度惊慌、盲目乱跑，应按照疏散指示标志、出口通道提示有序逃生，逃生时不可互相拥挤、推搡，不乱喊乱叫。</w:t>
      </w:r>
    </w:p>
    <w:p w14:paraId="110BDC08">
      <w:pPr>
        <w:rPr>
          <w:sz w:val="28"/>
          <w:szCs w:val="28"/>
        </w:rPr>
      </w:pPr>
      <w:r>
        <w:rPr>
          <w:rFonts w:hint="eastAsia"/>
          <w:sz w:val="28"/>
          <w:szCs w:val="28"/>
        </w:rPr>
        <w:t>（3）请全体人员在进入人员密集场所时，及时了解应急疏散通道的位置和逃生通道，掌握使用灭火器材方法，不要堵塞消防通道。</w:t>
      </w:r>
    </w:p>
    <w:p w14:paraId="339BD5B0">
      <w:pPr>
        <w:rPr>
          <w:sz w:val="28"/>
          <w:szCs w:val="28"/>
        </w:rPr>
      </w:pPr>
      <w:r>
        <w:rPr>
          <w:rFonts w:hint="eastAsia"/>
          <w:sz w:val="28"/>
          <w:szCs w:val="28"/>
        </w:rPr>
        <w:t>（4）一旦火险发生后，人员疏散场地为学校操场，安排专人进行现场秩序疏导和维护。</w:t>
      </w:r>
    </w:p>
    <w:p w14:paraId="28BCB5F9">
      <w:pPr>
        <w:rPr>
          <w:sz w:val="28"/>
          <w:szCs w:val="28"/>
        </w:rPr>
      </w:pPr>
      <w:r>
        <w:rPr>
          <w:rFonts w:hint="eastAsia"/>
          <w:sz w:val="28"/>
          <w:szCs w:val="28"/>
        </w:rPr>
        <w:t>2.重大交通安全事故</w:t>
      </w:r>
    </w:p>
    <w:p w14:paraId="6381067A">
      <w:pPr>
        <w:rPr>
          <w:sz w:val="28"/>
          <w:szCs w:val="28"/>
        </w:rPr>
      </w:pPr>
      <w:r>
        <w:rPr>
          <w:rFonts w:hint="eastAsia"/>
          <w:sz w:val="28"/>
          <w:szCs w:val="28"/>
        </w:rPr>
        <w:t>（1）指挥参赛学生紧急集合疏散至安全地段，迅速将事故信息上报大赛突发安全事故应急领导小组。</w:t>
      </w:r>
    </w:p>
    <w:p w14:paraId="368C4989">
      <w:pPr>
        <w:rPr>
          <w:sz w:val="28"/>
          <w:szCs w:val="28"/>
        </w:rPr>
      </w:pPr>
      <w:r>
        <w:rPr>
          <w:rFonts w:hint="eastAsia"/>
          <w:sz w:val="28"/>
          <w:szCs w:val="28"/>
        </w:rPr>
        <w:t>（2）要迅速抢救受伤师生，在最短时间内将受伤师生送到就近或指定医院救治，根据情节分别及时报警 110、120 请求援助，并保护好事故现场。</w:t>
      </w:r>
    </w:p>
    <w:p w14:paraId="6071698F">
      <w:pPr>
        <w:rPr>
          <w:sz w:val="28"/>
          <w:szCs w:val="28"/>
        </w:rPr>
      </w:pPr>
      <w:r>
        <w:rPr>
          <w:rFonts w:hint="eastAsia"/>
          <w:sz w:val="28"/>
          <w:szCs w:val="28"/>
        </w:rPr>
        <w:t>（3）采取有效措施，做好善后处置工作。</w:t>
      </w:r>
    </w:p>
    <w:p w14:paraId="12F156E1">
      <w:pPr>
        <w:rPr>
          <w:sz w:val="28"/>
          <w:szCs w:val="28"/>
        </w:rPr>
      </w:pPr>
      <w:r>
        <w:rPr>
          <w:rFonts w:hint="eastAsia"/>
          <w:sz w:val="28"/>
          <w:szCs w:val="28"/>
        </w:rPr>
        <w:t>3.食物中毒安全事故</w:t>
      </w:r>
    </w:p>
    <w:p w14:paraId="45F7B3EA">
      <w:pPr>
        <w:rPr>
          <w:sz w:val="28"/>
          <w:szCs w:val="28"/>
        </w:rPr>
      </w:pPr>
      <w:r>
        <w:rPr>
          <w:rFonts w:hint="eastAsia"/>
          <w:sz w:val="28"/>
          <w:szCs w:val="28"/>
        </w:rPr>
        <w:t>（1）立即停止配餐餐厅的经营活动，及时向大赛突发安全事故应急领导小组及卫生防疫部门报告，根据情节分别及时报警 110、120 请求援助。</w:t>
      </w:r>
    </w:p>
    <w:p w14:paraId="7D0EABEC">
      <w:pPr>
        <w:rPr>
          <w:sz w:val="28"/>
          <w:szCs w:val="28"/>
        </w:rPr>
      </w:pPr>
      <w:r>
        <w:rPr>
          <w:rFonts w:hint="eastAsia"/>
          <w:sz w:val="28"/>
          <w:szCs w:val="28"/>
        </w:rPr>
        <w:t>（2）积极协助卫生机构救助病人，需要时协助转送指定医院治疗。</w:t>
      </w:r>
    </w:p>
    <w:p w14:paraId="23695262">
      <w:pPr>
        <w:rPr>
          <w:sz w:val="28"/>
          <w:szCs w:val="28"/>
        </w:rPr>
      </w:pPr>
      <w:r>
        <w:rPr>
          <w:rFonts w:hint="eastAsia"/>
          <w:sz w:val="28"/>
          <w:szCs w:val="28"/>
        </w:rPr>
        <w:t>（3）封存造成食物中毒或可能导致食物中毒的食品和原料、工具、设备和现场。</w:t>
      </w:r>
    </w:p>
    <w:p w14:paraId="2D50FA1A">
      <w:pPr>
        <w:rPr>
          <w:sz w:val="28"/>
          <w:szCs w:val="28"/>
        </w:rPr>
      </w:pPr>
      <w:r>
        <w:rPr>
          <w:rFonts w:hint="eastAsia"/>
          <w:sz w:val="28"/>
          <w:szCs w:val="28"/>
        </w:rPr>
        <w:t>（4）配合卫生防疫部门的调查，如实提供有关材料和样品。</w:t>
      </w:r>
    </w:p>
    <w:p w14:paraId="2A9EE5EC">
      <w:pPr>
        <w:rPr>
          <w:sz w:val="28"/>
          <w:szCs w:val="28"/>
        </w:rPr>
      </w:pPr>
      <w:r>
        <w:rPr>
          <w:rFonts w:hint="eastAsia"/>
          <w:sz w:val="28"/>
          <w:szCs w:val="28"/>
        </w:rPr>
        <w:t>（5）采取有效措施，做好善后处置工作。</w:t>
      </w:r>
    </w:p>
    <w:p w14:paraId="1AFF10F5">
      <w:pPr>
        <w:rPr>
          <w:sz w:val="28"/>
          <w:szCs w:val="28"/>
        </w:rPr>
      </w:pPr>
      <w:r>
        <w:rPr>
          <w:rFonts w:hint="eastAsia"/>
          <w:sz w:val="28"/>
          <w:szCs w:val="28"/>
        </w:rPr>
        <w:t>4.用电安全事故</w:t>
      </w:r>
    </w:p>
    <w:p w14:paraId="2B044E62">
      <w:pPr>
        <w:rPr>
          <w:sz w:val="28"/>
          <w:szCs w:val="28"/>
        </w:rPr>
      </w:pPr>
      <w:r>
        <w:rPr>
          <w:rFonts w:hint="eastAsia"/>
          <w:sz w:val="28"/>
          <w:szCs w:val="28"/>
        </w:rPr>
        <w:t>（1）发现触电事故时，首先应立即切断电源，并控制好大赛现场秩序。</w:t>
      </w:r>
    </w:p>
    <w:p w14:paraId="56058564">
      <w:pPr>
        <w:rPr>
          <w:sz w:val="28"/>
          <w:szCs w:val="28"/>
        </w:rPr>
      </w:pPr>
      <w:r>
        <w:rPr>
          <w:rFonts w:hint="eastAsia"/>
          <w:sz w:val="28"/>
          <w:szCs w:val="28"/>
        </w:rPr>
        <w:t>（2）对触电者视其情况，应采取有效措施，当场联系现场医护人员实行应急救护，严重者及时拨打 120 请求救援，协助转送附近医院。</w:t>
      </w:r>
    </w:p>
    <w:p w14:paraId="2FB95EC4">
      <w:pPr>
        <w:rPr>
          <w:sz w:val="28"/>
          <w:szCs w:val="28"/>
        </w:rPr>
      </w:pPr>
      <w:r>
        <w:rPr>
          <w:rFonts w:hint="eastAsia"/>
          <w:sz w:val="28"/>
          <w:szCs w:val="28"/>
        </w:rPr>
        <w:t>（3）迅速将事故信息上报大赛突发安全事故应急领导小组。</w:t>
      </w:r>
    </w:p>
    <w:p w14:paraId="789AEF8C">
      <w:pPr>
        <w:rPr>
          <w:sz w:val="28"/>
          <w:szCs w:val="28"/>
        </w:rPr>
      </w:pPr>
      <w:r>
        <w:rPr>
          <w:rFonts w:hint="eastAsia"/>
          <w:sz w:val="28"/>
          <w:szCs w:val="28"/>
        </w:rPr>
        <w:t>（4）采取有效措施，做好善后处置工作。</w:t>
      </w:r>
    </w:p>
    <w:p w14:paraId="66581469">
      <w:pPr>
        <w:rPr>
          <w:sz w:val="28"/>
          <w:szCs w:val="28"/>
        </w:rPr>
      </w:pPr>
      <w:r>
        <w:rPr>
          <w:rFonts w:hint="eastAsia"/>
          <w:sz w:val="28"/>
          <w:szCs w:val="28"/>
        </w:rPr>
        <w:t>5.医疗紧急病情救治</w:t>
      </w:r>
    </w:p>
    <w:p w14:paraId="751A806F">
      <w:pPr>
        <w:rPr>
          <w:sz w:val="28"/>
          <w:szCs w:val="28"/>
        </w:rPr>
      </w:pPr>
      <w:r>
        <w:rPr>
          <w:rFonts w:hint="eastAsia"/>
          <w:sz w:val="28"/>
          <w:szCs w:val="28"/>
        </w:rPr>
        <w:t>（1）夏季是传染病多发季节、本次大赛参赛人数多，大赛建立预防为主、防治结合的应急处理机制，保障各地参赛选手和服务人员的身体健康。</w:t>
      </w:r>
    </w:p>
    <w:p w14:paraId="1610509C">
      <w:pPr>
        <w:rPr>
          <w:sz w:val="28"/>
          <w:szCs w:val="28"/>
        </w:rPr>
      </w:pPr>
      <w:r>
        <w:rPr>
          <w:rFonts w:hint="eastAsia"/>
          <w:sz w:val="28"/>
          <w:szCs w:val="28"/>
        </w:rPr>
        <w:t>（2）大赛场地要做到干净、整洁，场馆内要保持空气流通，预防呼吸道传染病的发生。</w:t>
      </w:r>
    </w:p>
    <w:p w14:paraId="382C4DA5">
      <w:pPr>
        <w:rPr>
          <w:sz w:val="28"/>
          <w:szCs w:val="28"/>
        </w:rPr>
      </w:pPr>
      <w:r>
        <w:rPr>
          <w:rFonts w:hint="eastAsia"/>
          <w:sz w:val="28"/>
          <w:szCs w:val="28"/>
        </w:rPr>
        <w:t>（3）建立应急快速反应机制，由专人负责购置必要的急救药品在大赛期间预备使用。如遇特殊情况实施必要的急救措施，并及时与 120 急救中心联系送往医院救治。</w:t>
      </w:r>
    </w:p>
    <w:p w14:paraId="1CDF584F">
      <w:pPr>
        <w:rPr>
          <w:sz w:val="28"/>
          <w:szCs w:val="28"/>
        </w:rPr>
      </w:pPr>
      <w:r>
        <w:rPr>
          <w:rFonts w:hint="eastAsia"/>
          <w:sz w:val="28"/>
          <w:szCs w:val="28"/>
        </w:rPr>
        <w:t>（4）为了预防流行性病毒的传播，大赛期间设立隔离室，一旦发现疑似症状应以最快的速度进行隔离，排查病情并及时上报大赛突发安全事故应急领导小组。</w:t>
      </w:r>
    </w:p>
    <w:p w14:paraId="1F863005">
      <w:pPr>
        <w:rPr>
          <w:sz w:val="28"/>
          <w:szCs w:val="28"/>
        </w:rPr>
      </w:pPr>
      <w:r>
        <w:rPr>
          <w:rFonts w:hint="eastAsia"/>
          <w:sz w:val="28"/>
          <w:szCs w:val="28"/>
        </w:rPr>
        <w:t>八、竞赛须知</w:t>
      </w:r>
    </w:p>
    <w:p w14:paraId="30A2698C">
      <w:pPr>
        <w:rPr>
          <w:sz w:val="28"/>
          <w:szCs w:val="28"/>
        </w:rPr>
      </w:pPr>
      <w:r>
        <w:rPr>
          <w:rFonts w:hint="eastAsia"/>
          <w:sz w:val="28"/>
          <w:szCs w:val="28"/>
        </w:rPr>
        <w:t>（一）参赛队须知</w:t>
      </w:r>
    </w:p>
    <w:p w14:paraId="6ED6723F">
      <w:pPr>
        <w:rPr>
          <w:sz w:val="28"/>
          <w:szCs w:val="28"/>
        </w:rPr>
      </w:pPr>
      <w:r>
        <w:rPr>
          <w:rFonts w:hint="eastAsia"/>
          <w:sz w:val="28"/>
          <w:szCs w:val="28"/>
        </w:rPr>
        <w:t>1.参赛队名称统一使用规定的地区代表队名称，不使用学校或其他组织、团体名称；不接受跨校组队报名。</w:t>
      </w:r>
    </w:p>
    <w:p w14:paraId="0EAA23E4">
      <w:pPr>
        <w:rPr>
          <w:sz w:val="28"/>
          <w:szCs w:val="28"/>
        </w:rPr>
      </w:pPr>
      <w:r>
        <w:rPr>
          <w:rFonts w:hint="eastAsia"/>
          <w:sz w:val="28"/>
          <w:szCs w:val="28"/>
        </w:rPr>
        <w:t>2.参赛队员在报名获得审核确认后，原则上不再更换，如筹备过程中，队员因故不能参赛，所在省教育主管部门需出具书面说明并按相关规定补充人员并接受审核；竞赛开始后，参赛队不得更换参赛队员，允许队员缺席比赛。</w:t>
      </w:r>
    </w:p>
    <w:p w14:paraId="5D55EB67">
      <w:pPr>
        <w:rPr>
          <w:sz w:val="28"/>
          <w:szCs w:val="28"/>
        </w:rPr>
      </w:pPr>
      <w:r>
        <w:rPr>
          <w:rFonts w:hint="eastAsia"/>
          <w:sz w:val="28"/>
          <w:szCs w:val="28"/>
        </w:rPr>
        <w:t>3.参赛队按照大赛赛程安排，凭有效证件，按时参加检录和竞赛，如不能按时参赛以自动弃权处理。凭大赛组委会颁发的参赛证和有效身份证件参加比赛及相关活动。</w:t>
      </w:r>
    </w:p>
    <w:p w14:paraId="0533699F">
      <w:pPr>
        <w:rPr>
          <w:sz w:val="28"/>
          <w:szCs w:val="28"/>
        </w:rPr>
      </w:pPr>
      <w:r>
        <w:rPr>
          <w:rFonts w:hint="eastAsia"/>
          <w:sz w:val="28"/>
          <w:szCs w:val="28"/>
        </w:rPr>
        <w:t>4.参赛队员统一着装，须符合安全生产及竞赛要求。</w:t>
      </w:r>
    </w:p>
    <w:p w14:paraId="2B1ADC2F">
      <w:pPr>
        <w:rPr>
          <w:sz w:val="28"/>
          <w:szCs w:val="28"/>
        </w:rPr>
      </w:pPr>
      <w:r>
        <w:rPr>
          <w:rFonts w:hint="eastAsia"/>
          <w:sz w:val="28"/>
          <w:szCs w:val="28"/>
        </w:rPr>
        <w:t>5.参赛队员应自觉遵守赛场纪律，服从裁判、听从指挥、文明竞赛；持证进入赛场，禁止将通讯工具、自编电子或文字资料带入赛场。</w:t>
      </w:r>
    </w:p>
    <w:p w14:paraId="4DCF71CA">
      <w:pPr>
        <w:rPr>
          <w:sz w:val="28"/>
          <w:szCs w:val="28"/>
        </w:rPr>
      </w:pPr>
      <w:r>
        <w:rPr>
          <w:rFonts w:hint="eastAsia"/>
          <w:sz w:val="28"/>
          <w:szCs w:val="28"/>
        </w:rPr>
        <w:t>6.比赛过程中，选手休息、饮水或去卫生间等所用时间，一律计算在操作时间内。</w:t>
      </w:r>
    </w:p>
    <w:p w14:paraId="6925B5B8">
      <w:pPr>
        <w:rPr>
          <w:sz w:val="28"/>
          <w:szCs w:val="28"/>
        </w:rPr>
      </w:pPr>
      <w:r>
        <w:rPr>
          <w:rFonts w:hint="eastAsia"/>
          <w:sz w:val="28"/>
          <w:szCs w:val="28"/>
        </w:rPr>
        <w:t>7.参赛队欲提前结束比赛，应向裁判员举手示意，比赛终止时间由裁判员记录，参赛队结束比赛后不得再进行任何操作。</w:t>
      </w:r>
    </w:p>
    <w:p w14:paraId="506C1004">
      <w:pPr>
        <w:rPr>
          <w:sz w:val="28"/>
          <w:szCs w:val="28"/>
        </w:rPr>
      </w:pPr>
      <w:r>
        <w:rPr>
          <w:rFonts w:hint="eastAsia"/>
          <w:sz w:val="28"/>
          <w:szCs w:val="28"/>
        </w:rPr>
        <w:t>8.参赛选手参加实际操作竞赛前，应由参赛校进行安全教育。如发现问题应及时解决，无法解决的问题应及时向裁判员报告，裁判员视情况予以判定，并协调处理。对选手未发现的安全隐患或违章操作行为，裁判员应及时指出并予以纠正。</w:t>
      </w:r>
    </w:p>
    <w:p w14:paraId="64063C89">
      <w:pPr>
        <w:rPr>
          <w:sz w:val="28"/>
          <w:szCs w:val="28"/>
        </w:rPr>
      </w:pPr>
      <w:r>
        <w:rPr>
          <w:rFonts w:hint="eastAsia"/>
          <w:sz w:val="28"/>
          <w:szCs w:val="28"/>
        </w:rPr>
        <w:t>（二）指导教师须知</w:t>
      </w:r>
    </w:p>
    <w:p w14:paraId="50EF6C5D">
      <w:pPr>
        <w:rPr>
          <w:sz w:val="28"/>
          <w:szCs w:val="28"/>
        </w:rPr>
      </w:pPr>
      <w:r>
        <w:rPr>
          <w:rFonts w:hint="eastAsia"/>
          <w:sz w:val="28"/>
          <w:szCs w:val="28"/>
        </w:rPr>
        <w:t>1.指导教师经报名、审核后确定，一经确定不得更换。允许指导教师缺席比赛。</w:t>
      </w:r>
    </w:p>
    <w:p w14:paraId="10F49AF7">
      <w:pPr>
        <w:rPr>
          <w:sz w:val="28"/>
          <w:szCs w:val="28"/>
        </w:rPr>
      </w:pPr>
      <w:r>
        <w:rPr>
          <w:rFonts w:hint="eastAsia"/>
          <w:sz w:val="28"/>
          <w:szCs w:val="28"/>
        </w:rPr>
        <w:t>2.指导教师在进入比赛现场观摩时，应遵守赛场管理须知和赛场纪律。</w:t>
      </w:r>
    </w:p>
    <w:p w14:paraId="6655A214">
      <w:pPr>
        <w:rPr>
          <w:sz w:val="28"/>
          <w:szCs w:val="28"/>
        </w:rPr>
      </w:pPr>
      <w:r>
        <w:rPr>
          <w:rFonts w:hint="eastAsia"/>
          <w:sz w:val="28"/>
          <w:szCs w:val="28"/>
        </w:rPr>
        <w:t>3.准时参加赛前领队会议，并认真传达落实会议精神，确保准确及时召集本队人员按时到达赛场。</w:t>
      </w:r>
    </w:p>
    <w:p w14:paraId="48A5A993">
      <w:pPr>
        <w:rPr>
          <w:sz w:val="28"/>
          <w:szCs w:val="28"/>
        </w:rPr>
      </w:pPr>
      <w:r>
        <w:rPr>
          <w:rFonts w:hint="eastAsia"/>
          <w:sz w:val="28"/>
          <w:szCs w:val="28"/>
        </w:rPr>
        <w:t>4.熟悉竞赛规程和赛项须知，领队负责做好本参赛队比赛期间的管理与组织工作。</w:t>
      </w:r>
    </w:p>
    <w:p w14:paraId="12597622">
      <w:pPr>
        <w:rPr>
          <w:sz w:val="28"/>
          <w:szCs w:val="28"/>
        </w:rPr>
      </w:pPr>
      <w:r>
        <w:rPr>
          <w:rFonts w:hint="eastAsia"/>
          <w:sz w:val="28"/>
          <w:szCs w:val="28"/>
        </w:rPr>
        <w:t>5.各参赛队领队、指导教师在比赛期间需保持通信畅通。</w:t>
      </w:r>
    </w:p>
    <w:p w14:paraId="72BF6EAF">
      <w:pPr>
        <w:rPr>
          <w:sz w:val="28"/>
          <w:szCs w:val="28"/>
        </w:rPr>
      </w:pPr>
      <w:r>
        <w:rPr>
          <w:rFonts w:hint="eastAsia"/>
          <w:sz w:val="28"/>
          <w:szCs w:val="28"/>
        </w:rPr>
        <w:t>6.贯彻执行大赛各项规定，各参赛队领队、指导教师在比赛前和比赛期间不允许私自接触裁判、与裁判谈论与比赛有关的内容，不得以任何形式影响裁判人员的评判。</w:t>
      </w:r>
    </w:p>
    <w:p w14:paraId="5EECA97F">
      <w:pPr>
        <w:rPr>
          <w:sz w:val="28"/>
          <w:szCs w:val="28"/>
        </w:rPr>
      </w:pPr>
      <w:r>
        <w:rPr>
          <w:rFonts w:hint="eastAsia"/>
          <w:sz w:val="28"/>
          <w:szCs w:val="28"/>
        </w:rPr>
        <w:t>（三）参赛选手须知</w:t>
      </w:r>
    </w:p>
    <w:p w14:paraId="4A0BE306">
      <w:pPr>
        <w:rPr>
          <w:sz w:val="28"/>
          <w:szCs w:val="28"/>
        </w:rPr>
      </w:pPr>
      <w:r>
        <w:rPr>
          <w:rFonts w:hint="eastAsia"/>
          <w:sz w:val="28"/>
          <w:szCs w:val="28"/>
        </w:rPr>
        <w:t>1.严格遵守技能竞赛规则、技能竞赛纪律和安全操作规程，尊重裁判和赛场工作人员，自觉维护赛场秩序。</w:t>
      </w:r>
    </w:p>
    <w:p w14:paraId="4357CAA3">
      <w:pPr>
        <w:rPr>
          <w:sz w:val="28"/>
          <w:szCs w:val="28"/>
        </w:rPr>
      </w:pPr>
      <w:r>
        <w:rPr>
          <w:rFonts w:hint="eastAsia"/>
          <w:sz w:val="28"/>
          <w:szCs w:val="28"/>
        </w:rPr>
        <w:t>2.佩带参赛证件进入比赛场地，并接受裁判的检查。</w:t>
      </w:r>
    </w:p>
    <w:p w14:paraId="73CD8784">
      <w:pPr>
        <w:rPr>
          <w:sz w:val="28"/>
          <w:szCs w:val="28"/>
        </w:rPr>
      </w:pPr>
      <w:r>
        <w:rPr>
          <w:rFonts w:hint="eastAsia"/>
          <w:sz w:val="28"/>
          <w:szCs w:val="28"/>
        </w:rPr>
        <w:t>3.进入赛场前须将手机等通讯工具交赛场相关人员妥善保管。选手不得携带任何纸质资料、通讯工具、电子书、存储设备、照相及录像设备等进赛场，若一经发现取消参赛资格。</w:t>
      </w:r>
    </w:p>
    <w:p w14:paraId="07B39EA0">
      <w:pPr>
        <w:rPr>
          <w:sz w:val="28"/>
          <w:szCs w:val="28"/>
        </w:rPr>
      </w:pPr>
      <w:r>
        <w:rPr>
          <w:rFonts w:hint="eastAsia"/>
          <w:sz w:val="28"/>
          <w:szCs w:val="28"/>
        </w:rPr>
        <w:t>4.选手在收到开赛信号前不得开始或启动操作，竞赛过程中不准擅自离开赛场。竞赛结束时间到达，应立即比赛，不得拖延竞赛时间。竞赛完成后必须按裁判要求迅速离开赛场，不得在赛场内滞留。</w:t>
      </w:r>
    </w:p>
    <w:p w14:paraId="32C2FF36">
      <w:pPr>
        <w:rPr>
          <w:sz w:val="28"/>
          <w:szCs w:val="28"/>
        </w:rPr>
      </w:pPr>
      <w:r>
        <w:rPr>
          <w:rFonts w:hint="eastAsia"/>
          <w:sz w:val="28"/>
          <w:szCs w:val="28"/>
        </w:rPr>
        <w:t>5.严禁作弊行为。</w:t>
      </w:r>
    </w:p>
    <w:p w14:paraId="23592DB8">
      <w:pPr>
        <w:rPr>
          <w:sz w:val="28"/>
          <w:szCs w:val="28"/>
        </w:rPr>
      </w:pPr>
      <w:r>
        <w:rPr>
          <w:rFonts w:hint="eastAsia"/>
          <w:sz w:val="28"/>
          <w:szCs w:val="28"/>
        </w:rPr>
        <w:t>6.爱护竞赛场所的设备、仪器等，不得人为损坏竞赛用仪器设备。</w:t>
      </w:r>
    </w:p>
    <w:p w14:paraId="1B0D7E73">
      <w:pPr>
        <w:rPr>
          <w:sz w:val="28"/>
          <w:szCs w:val="28"/>
        </w:rPr>
      </w:pPr>
      <w:r>
        <w:rPr>
          <w:rFonts w:hint="eastAsia"/>
          <w:sz w:val="28"/>
          <w:szCs w:val="28"/>
        </w:rPr>
        <w:t>7.比赛过程中，参赛选手须严格遵守操作过程和相关准则，保证设备及人身安全，并接受裁判员的监督和警示；若因设备故障导致选手中断或终止比赛，由大赛裁判长视具体情况做出裁决。</w:t>
      </w:r>
    </w:p>
    <w:p w14:paraId="465C0B96">
      <w:pPr>
        <w:rPr>
          <w:sz w:val="28"/>
          <w:szCs w:val="28"/>
        </w:rPr>
      </w:pPr>
      <w:r>
        <w:rPr>
          <w:rFonts w:hint="eastAsia"/>
          <w:sz w:val="28"/>
          <w:szCs w:val="28"/>
        </w:rPr>
        <w:t>8.在比赛过程中，参赛选手由于操作失误导致设备不能正常工作，或造成安全事故不能进行比赛的，将被终止比赛。</w:t>
      </w:r>
    </w:p>
    <w:p w14:paraId="04A8B092">
      <w:pPr>
        <w:rPr>
          <w:sz w:val="28"/>
          <w:szCs w:val="28"/>
        </w:rPr>
      </w:pPr>
      <w:r>
        <w:rPr>
          <w:rFonts w:hint="eastAsia"/>
          <w:sz w:val="28"/>
          <w:szCs w:val="28"/>
        </w:rPr>
        <w:t>（四）工作人员须知</w:t>
      </w:r>
    </w:p>
    <w:p w14:paraId="3E685FFA">
      <w:pPr>
        <w:rPr>
          <w:sz w:val="28"/>
          <w:szCs w:val="28"/>
        </w:rPr>
      </w:pPr>
      <w:r>
        <w:rPr>
          <w:rFonts w:hint="eastAsia"/>
          <w:sz w:val="28"/>
          <w:szCs w:val="28"/>
        </w:rPr>
        <w:t>1.工作人员必须服从统一领导，严格遵守竞赛纪律及时间安排，严守工作岗位，不得无故离岗。</w:t>
      </w:r>
    </w:p>
    <w:p w14:paraId="58195CE3">
      <w:pPr>
        <w:rPr>
          <w:sz w:val="28"/>
          <w:szCs w:val="28"/>
        </w:rPr>
      </w:pPr>
      <w:r>
        <w:rPr>
          <w:rFonts w:hint="eastAsia"/>
          <w:sz w:val="28"/>
          <w:szCs w:val="28"/>
        </w:rPr>
        <w:t>2.工作人员必须着装整齐，统一佩戴由大赛组委会签发的相应证件，精神饱满、热情服务。</w:t>
      </w:r>
    </w:p>
    <w:p w14:paraId="608288C3">
      <w:pPr>
        <w:rPr>
          <w:sz w:val="28"/>
          <w:szCs w:val="28"/>
        </w:rPr>
      </w:pPr>
      <w:r>
        <w:rPr>
          <w:rFonts w:hint="eastAsia"/>
          <w:sz w:val="28"/>
          <w:szCs w:val="28"/>
        </w:rPr>
        <w:t>3.熟悉赛项指南，严格按照工作程序和有关规定办事，遇突发事件，按照安全工作预案，组织指挥人员疏散，确保人员安全。</w:t>
      </w:r>
    </w:p>
    <w:p w14:paraId="57505035">
      <w:pPr>
        <w:rPr>
          <w:sz w:val="28"/>
          <w:szCs w:val="28"/>
        </w:rPr>
      </w:pPr>
      <w:r>
        <w:rPr>
          <w:rFonts w:hint="eastAsia"/>
          <w:sz w:val="28"/>
          <w:szCs w:val="28"/>
        </w:rPr>
        <w:t>4.工作人员未经允许不得随意进入比赛现场。</w:t>
      </w:r>
    </w:p>
    <w:p w14:paraId="0EE107BE">
      <w:pPr>
        <w:rPr>
          <w:sz w:val="28"/>
          <w:szCs w:val="28"/>
        </w:rPr>
      </w:pPr>
      <w:r>
        <w:rPr>
          <w:rFonts w:hint="eastAsia"/>
          <w:sz w:val="28"/>
          <w:szCs w:val="28"/>
        </w:rPr>
        <w:t>5.选手提问，经允许后，可以提问不清楚的问题，裁判人员须正面回答。</w:t>
      </w:r>
    </w:p>
    <w:p w14:paraId="0E290E18">
      <w:pPr>
        <w:rPr>
          <w:sz w:val="28"/>
          <w:szCs w:val="28"/>
        </w:rPr>
      </w:pPr>
      <w:r>
        <w:rPr>
          <w:rFonts w:hint="eastAsia"/>
          <w:sz w:val="28"/>
          <w:szCs w:val="28"/>
        </w:rPr>
        <w:t>6.赛场内保持安静，不准吸烟。</w:t>
      </w:r>
    </w:p>
    <w:p w14:paraId="1BADA026">
      <w:pPr>
        <w:rPr>
          <w:sz w:val="28"/>
          <w:szCs w:val="28"/>
        </w:rPr>
      </w:pPr>
      <w:r>
        <w:rPr>
          <w:rFonts w:hint="eastAsia"/>
          <w:sz w:val="28"/>
          <w:szCs w:val="28"/>
        </w:rPr>
        <w:t>7.各赛场除裁判、赛场配备的工作人员以外，其他人员在竞赛时未经允许不得进入赛场。</w:t>
      </w:r>
    </w:p>
    <w:p w14:paraId="52A75EF9">
      <w:pPr>
        <w:rPr>
          <w:sz w:val="28"/>
          <w:szCs w:val="28"/>
        </w:rPr>
      </w:pPr>
      <w:r>
        <w:rPr>
          <w:rFonts w:hint="eastAsia"/>
          <w:sz w:val="28"/>
          <w:szCs w:val="28"/>
        </w:rPr>
        <w:t>8.新闻媒体等进入赛场必须经过大赛组委会允许，并且听从现场工作人员的安排和管理，不能影响竞赛进行。</w:t>
      </w:r>
    </w:p>
    <w:p w14:paraId="766E621E">
      <w:pPr>
        <w:rPr>
          <w:sz w:val="28"/>
          <w:szCs w:val="28"/>
        </w:rPr>
      </w:pPr>
      <w:r>
        <w:rPr>
          <w:rFonts w:hint="eastAsia"/>
          <w:sz w:val="28"/>
          <w:szCs w:val="28"/>
        </w:rPr>
        <w:t>9.负责各自赛区的裁判员和工作人员不得随意进入其它赛区。</w:t>
      </w:r>
    </w:p>
    <w:p w14:paraId="38443CCC">
      <w:pPr>
        <w:rPr>
          <w:sz w:val="28"/>
          <w:szCs w:val="28"/>
        </w:rPr>
      </w:pPr>
      <w:r>
        <w:rPr>
          <w:rFonts w:hint="eastAsia"/>
          <w:sz w:val="28"/>
          <w:szCs w:val="28"/>
        </w:rPr>
        <w:t>九、申诉与仲裁</w:t>
      </w:r>
    </w:p>
    <w:p w14:paraId="1222B0E7">
      <w:pPr>
        <w:rPr>
          <w:sz w:val="28"/>
          <w:szCs w:val="28"/>
        </w:rPr>
      </w:pPr>
      <w:r>
        <w:rPr>
          <w:rFonts w:hint="eastAsia"/>
          <w:sz w:val="28"/>
          <w:szCs w:val="28"/>
        </w:rPr>
        <w:t>1.各参赛队对不符合大赛和赛项规程规定的仪器、设备、材料、物件、计算机软硬件、竞赛使用工具、用品，竞赛执裁、赛场管理、竞赛成绩，以及工作人员的不规范行为等，可向赛项仲裁组提出申诉。</w:t>
      </w:r>
    </w:p>
    <w:p w14:paraId="6D6008CA">
      <w:pPr>
        <w:rPr>
          <w:sz w:val="28"/>
          <w:szCs w:val="28"/>
        </w:rPr>
      </w:pPr>
      <w:r>
        <w:rPr>
          <w:rFonts w:hint="eastAsia"/>
          <w:sz w:val="28"/>
          <w:szCs w:val="28"/>
        </w:rPr>
        <w:t>2.申诉主体为参赛队领队。</w:t>
      </w:r>
    </w:p>
    <w:p w14:paraId="062E41B0">
      <w:pPr>
        <w:rPr>
          <w:sz w:val="28"/>
          <w:szCs w:val="28"/>
        </w:rPr>
      </w:pPr>
      <w:r>
        <w:rPr>
          <w:rFonts w:hint="eastAsia"/>
          <w:sz w:val="28"/>
          <w:szCs w:val="28"/>
        </w:rPr>
        <w:t>3.申诉启动时，参赛队向赛项仲裁工作组递交领队亲笔签字同意的书面报告。书面报告应对申诉事件的现象、发生时间、涉及人员、申诉依据等进行充分、实事求是的叙述。非书面申诉不予受理。</w:t>
      </w:r>
    </w:p>
    <w:p w14:paraId="19C29B14">
      <w:pPr>
        <w:rPr>
          <w:sz w:val="28"/>
          <w:szCs w:val="28"/>
        </w:rPr>
      </w:pPr>
      <w:r>
        <w:rPr>
          <w:rFonts w:hint="eastAsia"/>
          <w:sz w:val="28"/>
          <w:szCs w:val="28"/>
        </w:rPr>
        <w:t>4.申诉应在比赛结束后 2 小时内向赛项仲裁工作组提出。超过时效不予受理。</w:t>
      </w:r>
    </w:p>
    <w:p w14:paraId="385CAE2A">
      <w:pPr>
        <w:rPr>
          <w:sz w:val="28"/>
          <w:szCs w:val="28"/>
        </w:rPr>
      </w:pPr>
      <w:r>
        <w:rPr>
          <w:rFonts w:hint="eastAsia"/>
          <w:sz w:val="28"/>
          <w:szCs w:val="28"/>
        </w:rPr>
        <w:t>5．赛项仲裁工作组在接到申诉报告后的 2 小时内组织复议，并及时将复议结果以书面形式告知申诉方。申诉方对复议结果仍有异议，可由省（市）领队向赛区仲裁委员会提出申诉。赛区仲裁委员会的仲裁结果为最终结果。</w:t>
      </w:r>
    </w:p>
    <w:p w14:paraId="03DD1AAD">
      <w:pPr>
        <w:rPr>
          <w:sz w:val="28"/>
          <w:szCs w:val="28"/>
        </w:rPr>
      </w:pPr>
      <w:r>
        <w:rPr>
          <w:rFonts w:hint="eastAsia"/>
          <w:sz w:val="28"/>
          <w:szCs w:val="28"/>
        </w:rPr>
        <w:t>6.申诉方不得以任何理由拒绝接收仲裁结果，不得以任何理由采取过激行为扰乱赛场秩序。仲裁结果由申诉人签收，不能代收，如在约定时间和地点申诉人离开，视为自行放弃申诉。</w:t>
      </w:r>
    </w:p>
    <w:p w14:paraId="2F76801E">
      <w:pPr>
        <w:rPr>
          <w:sz w:val="28"/>
          <w:szCs w:val="28"/>
        </w:rPr>
      </w:pPr>
      <w:r>
        <w:rPr>
          <w:rFonts w:hint="eastAsia"/>
          <w:sz w:val="28"/>
          <w:szCs w:val="28"/>
        </w:rPr>
        <w:t>7.申诉方可随时提出放弃申诉。</w:t>
      </w:r>
    </w:p>
    <w:p w14:paraId="1CD53455"/>
    <w:p w14:paraId="01067535"/>
    <w:p w14:paraId="6B3AD0CF"/>
    <w:p w14:paraId="01CB1D2B"/>
    <w:p w14:paraId="76AB8461"/>
    <w:p w14:paraId="47D7AD7B"/>
    <w:p w14:paraId="65D1D7AB"/>
    <w:p w14:paraId="67AB88A0"/>
    <w:p w14:paraId="5212F35D"/>
    <w:p w14:paraId="11048128"/>
    <w:p w14:paraId="25ACB1EE"/>
    <w:sectPr>
      <w:pgSz w:w="11906" w:h="16838"/>
      <w:pgMar w:top="1157" w:right="1179" w:bottom="1157"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5NzQ5ZWE3ODcyNTYwNjk2Y2M2MjlkOGEwNmE4ZDgifQ=="/>
  </w:docVars>
  <w:rsids>
    <w:rsidRoot w:val="00720A0C"/>
    <w:rsid w:val="00157405"/>
    <w:rsid w:val="00285147"/>
    <w:rsid w:val="00542FC5"/>
    <w:rsid w:val="00580396"/>
    <w:rsid w:val="006710A0"/>
    <w:rsid w:val="00714ECA"/>
    <w:rsid w:val="00720A0C"/>
    <w:rsid w:val="00752C12"/>
    <w:rsid w:val="00760D36"/>
    <w:rsid w:val="00836C5C"/>
    <w:rsid w:val="009431D6"/>
    <w:rsid w:val="009C5F20"/>
    <w:rsid w:val="009C7E40"/>
    <w:rsid w:val="00A24071"/>
    <w:rsid w:val="00A25D09"/>
    <w:rsid w:val="00AD08FA"/>
    <w:rsid w:val="00AF13AA"/>
    <w:rsid w:val="00B15734"/>
    <w:rsid w:val="00C2406A"/>
    <w:rsid w:val="00CA1261"/>
    <w:rsid w:val="00D56064"/>
    <w:rsid w:val="00E20C31"/>
    <w:rsid w:val="00FA5BA4"/>
    <w:rsid w:val="01BA61B0"/>
    <w:rsid w:val="02441F1E"/>
    <w:rsid w:val="050F6813"/>
    <w:rsid w:val="053E584F"/>
    <w:rsid w:val="08C77405"/>
    <w:rsid w:val="094B1DE4"/>
    <w:rsid w:val="0CD345CA"/>
    <w:rsid w:val="158F40CF"/>
    <w:rsid w:val="16B24BAB"/>
    <w:rsid w:val="1D951428"/>
    <w:rsid w:val="1EE73F05"/>
    <w:rsid w:val="295A08AB"/>
    <w:rsid w:val="34D449C8"/>
    <w:rsid w:val="39F23A32"/>
    <w:rsid w:val="3F3E3276"/>
    <w:rsid w:val="40322DDA"/>
    <w:rsid w:val="41911D83"/>
    <w:rsid w:val="43AC2EA4"/>
    <w:rsid w:val="43D917BF"/>
    <w:rsid w:val="465810C1"/>
    <w:rsid w:val="4EAF7248"/>
    <w:rsid w:val="542B048E"/>
    <w:rsid w:val="56064695"/>
    <w:rsid w:val="5B8E285C"/>
    <w:rsid w:val="5FC03B07"/>
    <w:rsid w:val="64801AB7"/>
    <w:rsid w:val="6865349E"/>
    <w:rsid w:val="6F256098"/>
    <w:rsid w:val="6F4162E7"/>
    <w:rsid w:val="7A2111EE"/>
    <w:rsid w:val="7B2965AD"/>
    <w:rsid w:val="7C1664D5"/>
    <w:rsid w:val="7EBC7738"/>
    <w:rsid w:val="7F114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semiHidden/>
    <w:qFormat/>
    <w:uiPriority w:val="99"/>
    <w:rPr>
      <w:kern w:val="2"/>
      <w:sz w:val="18"/>
      <w:szCs w:val="18"/>
    </w:rPr>
  </w:style>
  <w:style w:type="character" w:customStyle="1" w:styleId="9">
    <w:name w:val="页眉 Char"/>
    <w:basedOn w:val="7"/>
    <w:link w:val="4"/>
    <w:qFormat/>
    <w:uiPriority w:val="99"/>
    <w:rPr>
      <w:kern w:val="2"/>
      <w:sz w:val="18"/>
      <w:szCs w:val="18"/>
    </w:rPr>
  </w:style>
  <w:style w:type="character" w:customStyle="1" w:styleId="10">
    <w:name w:val="页脚 Char"/>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6929</Words>
  <Characters>7184</Characters>
  <Lines>54</Lines>
  <Paragraphs>15</Paragraphs>
  <TotalTime>20</TotalTime>
  <ScaleCrop>false</ScaleCrop>
  <LinksUpToDate>false</LinksUpToDate>
  <CharactersWithSpaces>7286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2024-06-22T21:59:00Z</dcterms:created>
  <dc:creator>个人用户</dc:creator>
  <cp:lastModifiedBy>18and life</cp:lastModifiedBy>
  <cp:lastPrinted>2025-06-04T02:55:00Z</cp:lastPrinted>
  <dcterms:modified xsi:type="dcterms:W3CDTF">2026-06-13T00:31:03Z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6308AA15708942F1A3726F0EFA9DF5D6_12</vt:lpwstr>
  </property>
  <property fmtid="{D5CDD505-2E9C-101B-9397-08002B2CF9AE}" pid="4" name="KSOTemplateDocerSaveRecord">
    <vt:lpwstr>eyJoZGlkIjoiODNiZGYxOTBmMTAyNmI1Y2Q0MjU3YzJkYzRhOTU2YzcifQ==</vt:lpwstr>
  </property>
</Properties>
</file>