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6AF28">
      <w:pPr>
        <w:pageBreakBefore w:val="0"/>
        <w:kinsoku/>
        <w:wordWrap/>
        <w:overflowPunct/>
        <w:topLinePunct w:val="0"/>
        <w:bidi w:val="0"/>
        <w:spacing w:line="24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2026年唐山市中等职业学校技能竞赛</w:t>
      </w:r>
    </w:p>
    <w:p w14:paraId="0BDD0793">
      <w:pPr>
        <w:pageBreakBefore w:val="0"/>
        <w:kinsoku/>
        <w:wordWrap/>
        <w:overflowPunct/>
        <w:topLinePunct w:val="0"/>
        <w:bidi w:val="0"/>
        <w:spacing w:line="240" w:lineRule="auto"/>
        <w:jc w:val="center"/>
        <w:textAlignment w:val="auto"/>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工业机器人安装与编程赛项技术规程（教师组）</w:t>
      </w:r>
    </w:p>
    <w:p w14:paraId="032BD64E">
      <w:pPr>
        <w:pageBreakBefore w:val="0"/>
        <w:numPr>
          <w:ilvl w:val="0"/>
          <w:numId w:val="0"/>
        </w:numPr>
        <w:kinsoku/>
        <w:wordWrap/>
        <w:overflowPunct/>
        <w:topLinePunct w:val="0"/>
        <w:bidi w:val="0"/>
        <w:spacing w:line="240" w:lineRule="auto"/>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kern w:val="2"/>
          <w:sz w:val="30"/>
          <w:szCs w:val="30"/>
          <w:lang w:val="en-US" w:eastAsia="zh-CN" w:bidi="ar-SA"/>
        </w:rPr>
        <w:t>一、</w:t>
      </w:r>
      <w:r>
        <w:rPr>
          <w:rFonts w:hint="eastAsia" w:ascii="黑体" w:hAnsi="黑体" w:eastAsia="黑体" w:cs="黑体"/>
          <w:b w:val="0"/>
          <w:bCs w:val="0"/>
          <w:sz w:val="30"/>
          <w:szCs w:val="30"/>
          <w:lang w:val="en-US" w:eastAsia="zh-CN"/>
        </w:rPr>
        <w:t>大赛名称</w:t>
      </w:r>
    </w:p>
    <w:p w14:paraId="06CD6647">
      <w:pPr>
        <w:pageBreakBefore w:val="0"/>
        <w:numPr>
          <w:ilvl w:val="0"/>
          <w:numId w:val="0"/>
        </w:numPr>
        <w:kinsoku/>
        <w:wordWrap/>
        <w:overflowPunct/>
        <w:topLinePunct w:val="0"/>
        <w:bidi w:val="0"/>
        <w:spacing w:line="240" w:lineRule="auto"/>
        <w:ind w:firstLine="480" w:firstLineChars="2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2026年唐山市中等职业学校技能竞赛——工业机器人安装与编程赛项</w:t>
      </w:r>
    </w:p>
    <w:p w14:paraId="68D22904">
      <w:pPr>
        <w:pageBreakBefore w:val="0"/>
        <w:numPr>
          <w:ilvl w:val="0"/>
          <w:numId w:val="0"/>
        </w:numPr>
        <w:kinsoku/>
        <w:wordWrap/>
        <w:overflowPunct/>
        <w:topLinePunct w:val="0"/>
        <w:bidi w:val="0"/>
        <w:spacing w:line="240" w:lineRule="auto"/>
        <w:ind w:left="0" w:leftChars="0" w:firstLine="0" w:firstLineChars="0"/>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kern w:val="2"/>
          <w:sz w:val="30"/>
          <w:szCs w:val="30"/>
          <w:lang w:val="en-US" w:eastAsia="zh-CN" w:bidi="ar-SA"/>
        </w:rPr>
        <w:t>二、</w:t>
      </w:r>
      <w:r>
        <w:rPr>
          <w:rFonts w:hint="eastAsia" w:ascii="黑体" w:hAnsi="黑体" w:eastAsia="黑体" w:cs="黑体"/>
          <w:b w:val="0"/>
          <w:bCs w:val="0"/>
          <w:sz w:val="30"/>
          <w:szCs w:val="30"/>
          <w:lang w:val="en-US" w:eastAsia="zh-CN"/>
        </w:rPr>
        <w:t>大赛目的</w:t>
      </w:r>
    </w:p>
    <w:p w14:paraId="52ED5EA5">
      <w:pPr>
        <w:keepNext w:val="0"/>
        <w:keepLines w:val="0"/>
        <w:pageBreakBefore w:val="0"/>
        <w:widowControl/>
        <w:suppressLineNumbers w:val="0"/>
        <w:kinsoku/>
        <w:wordWrap/>
        <w:overflowPunct/>
        <w:topLinePunct w:val="0"/>
        <w:bidi w:val="0"/>
        <w:spacing w:line="240" w:lineRule="auto"/>
        <w:ind w:firstLine="480" w:firstLineChars="200"/>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sz w:val="24"/>
          <w:szCs w:val="24"/>
        </w:rPr>
        <w:t>为深入贯彻落实制造强国、质量强国、技能强国等国家重大发展战略，</w:t>
      </w:r>
      <w:r>
        <w:rPr>
          <w:rFonts w:hint="eastAsia" w:ascii="仿宋" w:hAnsi="仿宋" w:eastAsia="仿宋" w:cs="仿宋"/>
          <w:sz w:val="24"/>
          <w:szCs w:val="24"/>
          <w:lang w:val="en-US" w:eastAsia="zh-CN"/>
        </w:rPr>
        <w:t>本次大赛</w:t>
      </w:r>
      <w:r>
        <w:rPr>
          <w:rFonts w:hint="eastAsia" w:ascii="仿宋" w:hAnsi="仿宋" w:eastAsia="仿宋" w:cs="仿宋"/>
          <w:kern w:val="0"/>
          <w:sz w:val="24"/>
          <w:szCs w:val="24"/>
          <w:lang w:val="en-US" w:eastAsia="zh-CN" w:bidi="ar"/>
        </w:rPr>
        <w:t>以智能制造发展规划为背景，紧扣装备制造业转型升级对岗位技能提升的核心要求，面向全市职业院校工业机器人技术应用、机电一体化技术、电气自动化技术等相关专业，通过技能竞赛搭建交流比拼平台，推动职业学校工业机器人技术应用相关专业高质量发展、课程体系优化完善、人才培养质量稳步提升。聚焦工业机器人产业迅猛发展与专业技能人才严重短缺的突出矛盾，着力提升工业机器人系统技术应用人才的专业水平与总量供给，实现人才培养与岗位需求的无缝衔接、到岗即用。竞赛内容紧密对接工业机器人制造、系统集成、应用等企业的实际需求，围绕</w:t>
      </w:r>
      <w:r>
        <w:rPr>
          <w:rFonts w:hint="eastAsia" w:ascii="仿宋" w:hAnsi="仿宋" w:eastAsia="仿宋" w:cs="仿宋"/>
          <w:sz w:val="24"/>
          <w:szCs w:val="24"/>
          <w:lang w:val="en-US" w:eastAsia="zh-CN"/>
        </w:rPr>
        <w:t>工业机器人系统硬件装配与调试、工业机器人系统规划与调整、工业机器人系统编程与调试、工业机器人系统综合应用等</w:t>
      </w:r>
      <w:r>
        <w:rPr>
          <w:rFonts w:hint="eastAsia" w:ascii="仿宋" w:hAnsi="仿宋" w:eastAsia="仿宋" w:cs="仿宋"/>
          <w:kern w:val="0"/>
          <w:sz w:val="24"/>
          <w:szCs w:val="24"/>
          <w:lang w:val="en-US" w:eastAsia="zh-CN" w:bidi="ar"/>
        </w:rPr>
        <w:t>核心岗位从业知识与技能设定，精准实现人才培养与产业需求同频共振，为装备制造业转型升级提供坚实技能人才支撑。</w:t>
      </w:r>
    </w:p>
    <w:p w14:paraId="7010A606">
      <w:pPr>
        <w:pStyle w:val="10"/>
        <w:numPr>
          <w:ilvl w:val="0"/>
          <w:numId w:val="0"/>
        </w:numPr>
        <w:rPr>
          <w:rFonts w:hint="default" w:ascii="黑体" w:hAnsi="黑体" w:eastAsia="黑体" w:cs="黑体"/>
          <w:kern w:val="0"/>
          <w:sz w:val="30"/>
          <w:szCs w:val="30"/>
          <w:lang w:val="en-US" w:eastAsia="zh-CN" w:bidi="ar"/>
        </w:rPr>
      </w:pPr>
      <w:r>
        <w:rPr>
          <w:rFonts w:hint="eastAsia" w:ascii="黑体" w:hAnsi="黑体" w:eastAsia="黑体" w:cs="黑体"/>
          <w:color w:val="000000"/>
          <w:kern w:val="0"/>
          <w:sz w:val="30"/>
          <w:szCs w:val="30"/>
          <w:lang w:val="en-US" w:eastAsia="zh-CN" w:bidi="ar"/>
        </w:rPr>
        <w:t>三、</w:t>
      </w:r>
      <w:r>
        <w:rPr>
          <w:rFonts w:hint="eastAsia" w:ascii="黑体" w:hAnsi="黑体" w:eastAsia="黑体" w:cs="黑体"/>
          <w:kern w:val="0"/>
          <w:sz w:val="30"/>
          <w:szCs w:val="30"/>
          <w:lang w:val="en-US" w:eastAsia="zh-CN" w:bidi="ar"/>
        </w:rPr>
        <w:t>参赛对象、形式、要求</w:t>
      </w:r>
    </w:p>
    <w:p w14:paraId="1E941749">
      <w:pPr>
        <w:pageBreakBefore w:val="0"/>
        <w:kinsoku/>
        <w:wordWrap/>
        <w:overflowPunct/>
        <w:topLinePunct w:val="0"/>
        <w:bidi w:val="0"/>
        <w:spacing w:line="240" w:lineRule="auto"/>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（一）参赛对象</w:t>
      </w:r>
    </w:p>
    <w:p w14:paraId="741208ED">
      <w:pPr>
        <w:pageBreakBefore w:val="0"/>
        <w:kinsoku/>
        <w:wordWrap/>
        <w:overflowPunct/>
        <w:topLinePunct w:val="0"/>
        <w:bidi w:val="0"/>
        <w:spacing w:line="240" w:lineRule="auto"/>
        <w:ind w:firstLine="480" w:firstLineChars="200"/>
        <w:jc w:val="both"/>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教师参赛选手应为学校专任教师，兼职教师不得参赛。</w:t>
      </w:r>
    </w:p>
    <w:p w14:paraId="496F18D2">
      <w:pPr>
        <w:pageBreakBefore w:val="0"/>
        <w:kinsoku/>
        <w:wordWrap/>
        <w:overflowPunct/>
        <w:topLinePunct w:val="0"/>
        <w:bidi w:val="0"/>
        <w:spacing w:line="240" w:lineRule="auto"/>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（二）大赛形式</w:t>
      </w:r>
    </w:p>
    <w:p w14:paraId="6DBEF841">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本赛项为单人独立竞赛。</w:t>
      </w:r>
    </w:p>
    <w:p w14:paraId="5108B869">
      <w:pPr>
        <w:pStyle w:val="10"/>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（三）</w:t>
      </w:r>
      <w:r>
        <w:rPr>
          <w:rFonts w:hint="eastAsia" w:ascii="仿宋" w:hAnsi="仿宋" w:eastAsia="仿宋" w:cs="仿宋"/>
          <w:sz w:val="24"/>
          <w:szCs w:val="24"/>
          <w:lang w:val="en-US" w:eastAsia="zh-CN"/>
        </w:rPr>
        <w:t>报名要求</w:t>
      </w:r>
    </w:p>
    <w:p w14:paraId="025415CF">
      <w:pPr>
        <w:pStyle w:val="10"/>
        <w:pageBreakBefore w:val="0"/>
        <w:numPr>
          <w:ilvl w:val="0"/>
          <w:numId w:val="0"/>
        </w:numPr>
        <w:kinsoku/>
        <w:wordWrap/>
        <w:overflowPunct/>
        <w:topLinePunct w:val="0"/>
        <w:bidi w:val="0"/>
        <w:spacing w:line="240" w:lineRule="auto"/>
        <w:ind w:firstLine="480" w:firstLineChars="200"/>
        <w:textAlignment w:val="auto"/>
        <w:rPr>
          <w:rFonts w:hint="eastAsia" w:ascii="黑体" w:hAnsi="黑体" w:eastAsia="黑体" w:cs="黑体"/>
          <w:kern w:val="0"/>
          <w:sz w:val="30"/>
          <w:szCs w:val="30"/>
          <w:lang w:val="en-US" w:eastAsia="zh-CN" w:bidi="ar"/>
        </w:rPr>
      </w:pPr>
      <w:r>
        <w:rPr>
          <w:rFonts w:hint="eastAsia" w:ascii="仿宋" w:hAnsi="仿宋" w:eastAsia="仿宋" w:cs="仿宋"/>
          <w:sz w:val="24"/>
          <w:szCs w:val="24"/>
          <w:lang w:val="en-US" w:eastAsia="zh-CN"/>
        </w:rPr>
        <w:t>参赛选手在报名获得审核确认后，原则上不再更换，如筹备过程中，选手因故不能参赛，所在学校出具书面说明并按相关规定补充人员并接受审核；竞赛开始后，参赛队不得更换参赛选手、允许选手缺席比赛。</w:t>
      </w:r>
    </w:p>
    <w:p w14:paraId="09641EC7">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黑体" w:hAnsi="黑体" w:eastAsia="黑体" w:cs="黑体"/>
          <w:sz w:val="30"/>
          <w:szCs w:val="30"/>
          <w:lang w:val="en-US" w:eastAsia="zh-CN"/>
        </w:rPr>
      </w:pPr>
    </w:p>
    <w:p w14:paraId="4D414569">
      <w:pPr>
        <w:pageBreakBefore w:val="0"/>
        <w:kinsoku/>
        <w:wordWrap/>
        <w:overflowPunct/>
        <w:topLinePunct w:val="0"/>
        <w:bidi w:val="0"/>
        <w:spacing w:line="240" w:lineRule="auto"/>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四、大赛内容</w:t>
      </w:r>
    </w:p>
    <w:p w14:paraId="54D62DEE">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实际操作竞赛以考核智能制造应用技能为主，包括仪器仪表使用及安全文明生产在实际操作竞赛过程中的考查。</w:t>
      </w:r>
    </w:p>
    <w:p w14:paraId="224B13F4">
      <w:pPr>
        <w:keepNext w:val="0"/>
        <w:keepLines w:val="0"/>
        <w:widowControl/>
        <w:suppressLineNumbers w:val="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（一）竞赛范围与内容</w:t>
      </w:r>
    </w:p>
    <w:p w14:paraId="7E91F1F3">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为全面考查参赛选手的职业综合素质和技术技能水平，实际技能操作竞赛包括工艺过程规划与仿真、机械电气系统选择、安装与故障排除、基于智能制造的典型应用、在线编程和安全文明生产五大部分。</w:t>
      </w:r>
    </w:p>
    <w:p w14:paraId="10A3A1CC">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赛项以工业机器人为核心单元，融合了工具快换、可编程逻辑控制器（PLC）、气动驱动、传感器、人机交互终端（HMI）等先进应用技术。以工业机器人在生产中典型的装配应用背景，包含工业机器人系统的安装调试、集成应用与维护维修等工作领域，考核典型的平面绘图、码垛、分拣、旋转供料、曲面绘图等工作任务，重点考察选手工业机器人系统的安装、编程、调试、维护、维修等专业能力和团队协作、质量控制、安全意识等职业素养，以及选手的综合职业能力。</w:t>
      </w:r>
    </w:p>
    <w:p w14:paraId="4F643C52">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实际操作部分由参赛选手按工作任务书的要求完成工作站的方案设计、工艺流程编制、布局仿真、装配、编程调试及优化，具体包含以下工作任务：</w:t>
      </w:r>
    </w:p>
    <w:p w14:paraId="11CDD2C5">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（1）工业过程自动化虚拟仿真</w:t>
      </w:r>
    </w:p>
    <w:p w14:paraId="4626397A">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根据任务书给定的任务要求选手进行任务分析，完成系统模块选择、布局方案设计、工艺流程编制，进行程序编写，完成工作站仿真验证。</w:t>
      </w:r>
    </w:p>
    <w:p w14:paraId="2195433B">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（2）机械硬件与电气系统安装</w:t>
      </w:r>
    </w:p>
    <w:p w14:paraId="7E89839F">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根据方案设计的内容，完成实物搭建，并在调试过程中进行电气线路故障的查找与排除，并将结果记录到答题纸上。</w:t>
      </w:r>
    </w:p>
    <w:p w14:paraId="55B5F3EC">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（3）安装与故障排除</w:t>
      </w:r>
    </w:p>
    <w:p w14:paraId="45D4CDB0">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根据任务书给定的任务要求，选手进行工业机器人运动分析，合理安装与摆放周边设备，对气路和电气线路进行上电之前的二次排查以及上电后的故障修复等。</w:t>
      </w:r>
    </w:p>
    <w:p w14:paraId="7CC72175">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（4）基于智能制造的典型应用</w:t>
      </w:r>
    </w:p>
    <w:p w14:paraId="7B81BBEA">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根据任务书给定的任务要求，选手进行任务分析，编写动作流程，对工业机器人进行参数设定、程序编写（示教编程）、操作调试等。工作效率考核对任务书要求完成的任务，进行工作效率的提升及流程优化。</w:t>
      </w:r>
    </w:p>
    <w:p w14:paraId="62256F4C">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（5）plc与触摸屏技术</w:t>
      </w:r>
    </w:p>
    <w:p w14:paraId="4EFC0B72">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根据任务书给定的任务要求，进行plc、触摸屏、机器人三者之间的连线和数据传送。</w:t>
      </w:r>
    </w:p>
    <w:p w14:paraId="49039AD8">
      <w:pPr>
        <w:keepNext w:val="0"/>
        <w:keepLines w:val="0"/>
        <w:widowControl/>
        <w:numPr>
          <w:ilvl w:val="0"/>
          <w:numId w:val="0"/>
        </w:numPr>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（6）</w:t>
      </w:r>
      <w:r>
        <w:rPr>
          <w:rFonts w:hint="eastAsia" w:ascii="仿宋" w:hAnsi="仿宋" w:eastAsia="仿宋" w:cs="仿宋"/>
          <w:sz w:val="24"/>
          <w:szCs w:val="24"/>
          <w:lang w:val="en-US" w:eastAsia="zh-CN"/>
        </w:rPr>
        <w:t>工作质量考核对任务书要求完成的任务，提高成品合格率。</w:t>
      </w:r>
    </w:p>
    <w:p w14:paraId="287544AB">
      <w:pPr>
        <w:keepNext w:val="0"/>
        <w:keepLines w:val="0"/>
        <w:widowControl/>
        <w:numPr>
          <w:ilvl w:val="0"/>
          <w:numId w:val="0"/>
        </w:numPr>
        <w:suppressLineNumbers w:val="0"/>
        <w:ind w:firstLine="480" w:firstLineChars="200"/>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实际操作竞赛比赛时长为90分钟。</w:t>
      </w:r>
    </w:p>
    <w:p w14:paraId="72CA8866">
      <w:pPr>
        <w:pageBreakBefore w:val="0"/>
        <w:numPr>
          <w:ilvl w:val="0"/>
          <w:numId w:val="0"/>
        </w:numPr>
        <w:kinsoku/>
        <w:wordWrap/>
        <w:overflowPunct/>
        <w:topLinePunct w:val="0"/>
        <w:bidi w:val="0"/>
        <w:spacing w:line="240" w:lineRule="auto"/>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（二）</w:t>
      </w:r>
      <w:r>
        <w:rPr>
          <w:rFonts w:hint="eastAsia" w:ascii="仿宋" w:hAnsi="仿宋" w:eastAsia="仿宋" w:cs="仿宋"/>
          <w:sz w:val="24"/>
          <w:szCs w:val="24"/>
          <w:lang w:val="en-US" w:eastAsia="zh-CN"/>
        </w:rPr>
        <w:t>命题方式</w:t>
      </w:r>
    </w:p>
    <w:p w14:paraId="1444F2C9">
      <w:pPr>
        <w:pageBreakBefore w:val="0"/>
        <w:numPr>
          <w:ilvl w:val="0"/>
          <w:numId w:val="0"/>
        </w:numPr>
        <w:kinsoku/>
        <w:wordWrap/>
        <w:overflowPunct/>
        <w:topLinePunct w:val="0"/>
        <w:bidi w:val="0"/>
        <w:spacing w:line="240" w:lineRule="auto"/>
        <w:ind w:firstLine="480" w:firstLineChars="200"/>
        <w:jc w:val="both"/>
        <w:textAlignment w:val="auto"/>
        <w:rPr>
          <w:rFonts w:hint="eastAsia"/>
          <w:lang w:val="en-US" w:eastAsia="zh-CN"/>
        </w:rPr>
      </w:pPr>
      <w:r>
        <w:rPr>
          <w:rFonts w:hint="eastAsia" w:ascii="仿宋" w:hAnsi="仿宋" w:eastAsia="仿宋" w:cs="仿宋"/>
          <w:sz w:val="24"/>
          <w:szCs w:val="24"/>
          <w:lang w:val="en-US" w:eastAsia="zh-CN"/>
        </w:rPr>
        <w:t>由大赛组委会组织专家组统一命题。并于开赛前一个月，在大赛网络信息发布平台公开网站上发布实操比赛样题（大赛试题与样题差异不超过30%）及大赛所使用软件。</w:t>
      </w:r>
    </w:p>
    <w:tbl>
      <w:tblPr>
        <w:tblStyle w:val="7"/>
        <w:tblpPr w:leftFromText="180" w:rightFromText="180" w:vertAnchor="text" w:horzAnchor="page" w:tblpX="1758" w:tblpY="300"/>
        <w:tblOverlap w:val="never"/>
        <w:tblW w:w="0" w:type="auto"/>
        <w:tblInd w:w="0" w:type="dxa"/>
        <w:tblLayout w:type="fixed"/>
        <w:tblCellMar>
          <w:top w:w="0" w:type="dxa"/>
          <w:left w:w="108" w:type="dxa"/>
          <w:bottom w:w="0" w:type="dxa"/>
          <w:right w:w="108" w:type="dxa"/>
        </w:tblCellMar>
      </w:tblPr>
      <w:tblGrid>
        <w:gridCol w:w="744"/>
        <w:gridCol w:w="2789"/>
        <w:gridCol w:w="3543"/>
        <w:gridCol w:w="750"/>
        <w:gridCol w:w="696"/>
      </w:tblGrid>
      <w:tr w14:paraId="6F77CA90">
        <w:trPr>
          <w:trHeight w:val="585" w:hRule="atLeast"/>
        </w:trPr>
        <w:tc>
          <w:tcPr>
            <w:tcW w:w="744" w:type="dxa"/>
            <w:tcBorders>
              <w:top w:val="single" w:color="000000" w:sz="8" w:space="0"/>
              <w:left w:val="single" w:color="000000" w:sz="8" w:space="0"/>
              <w:bottom w:val="single" w:color="000000" w:sz="8" w:space="0"/>
              <w:right w:val="single" w:color="000000" w:sz="8" w:space="0"/>
            </w:tcBorders>
            <w:vAlign w:val="center"/>
          </w:tcPr>
          <w:p w14:paraId="1426BA7F">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序号</w:t>
            </w:r>
          </w:p>
        </w:tc>
        <w:tc>
          <w:tcPr>
            <w:tcW w:w="2789" w:type="dxa"/>
            <w:tcBorders>
              <w:top w:val="single" w:color="000000" w:sz="8" w:space="0"/>
              <w:left w:val="nil"/>
              <w:bottom w:val="single" w:color="000000" w:sz="8" w:space="0"/>
              <w:right w:val="single" w:color="000000" w:sz="8" w:space="0"/>
            </w:tcBorders>
            <w:vAlign w:val="center"/>
          </w:tcPr>
          <w:p w14:paraId="55A28221">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竞赛内容</w:t>
            </w:r>
          </w:p>
        </w:tc>
        <w:tc>
          <w:tcPr>
            <w:tcW w:w="3543" w:type="dxa"/>
            <w:tcBorders>
              <w:top w:val="single" w:color="000000" w:sz="8" w:space="0"/>
              <w:left w:val="nil"/>
              <w:bottom w:val="single" w:color="000000" w:sz="8" w:space="0"/>
              <w:right w:val="single" w:color="000000" w:sz="8" w:space="0"/>
            </w:tcBorders>
            <w:vAlign w:val="center"/>
          </w:tcPr>
          <w:p w14:paraId="238280ED">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知识与技能</w:t>
            </w:r>
          </w:p>
        </w:tc>
        <w:tc>
          <w:tcPr>
            <w:tcW w:w="750" w:type="dxa"/>
            <w:tcBorders>
              <w:top w:val="single" w:color="000000" w:sz="8" w:space="0"/>
              <w:left w:val="nil"/>
              <w:bottom w:val="single" w:color="000000" w:sz="8" w:space="0"/>
              <w:right w:val="single" w:color="000000" w:sz="8" w:space="0"/>
            </w:tcBorders>
            <w:vAlign w:val="center"/>
          </w:tcPr>
          <w:p w14:paraId="25E260BA">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分值</w:t>
            </w:r>
          </w:p>
        </w:tc>
        <w:tc>
          <w:tcPr>
            <w:tcW w:w="696" w:type="dxa"/>
            <w:tcBorders>
              <w:top w:val="single" w:color="000000" w:sz="8" w:space="0"/>
              <w:left w:val="nil"/>
              <w:bottom w:val="single" w:color="000000" w:sz="8" w:space="0"/>
              <w:right w:val="single" w:color="000000" w:sz="8" w:space="0"/>
            </w:tcBorders>
            <w:vAlign w:val="center"/>
          </w:tcPr>
          <w:p w14:paraId="4B5D6129">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总分</w:t>
            </w:r>
          </w:p>
        </w:tc>
      </w:tr>
      <w:tr w14:paraId="74B4E715">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3300EFDD">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1</w:t>
            </w:r>
          </w:p>
        </w:tc>
        <w:tc>
          <w:tcPr>
            <w:tcW w:w="2789" w:type="dxa"/>
            <w:tcBorders>
              <w:top w:val="nil"/>
              <w:left w:val="nil"/>
              <w:bottom w:val="single" w:color="auto" w:sz="8" w:space="0"/>
              <w:right w:val="single" w:color="000000" w:sz="8" w:space="0"/>
            </w:tcBorders>
            <w:vAlign w:val="center"/>
          </w:tcPr>
          <w:p w14:paraId="698C5910">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任务A：工作站电气系统安装与调试</w:t>
            </w:r>
            <w:r>
              <w:rPr>
                <w:rFonts w:hint="eastAsia" w:ascii="仿宋" w:hAnsi="仿宋" w:eastAsia="仿宋" w:cs="仿宋"/>
                <w:b w:val="0"/>
                <w:bCs w:val="0"/>
                <w:kern w:val="0"/>
                <w:sz w:val="24"/>
                <w:szCs w:val="24"/>
                <w:lang w:val="en-US" w:eastAsia="zh-CN" w:bidi="ar"/>
              </w:rPr>
              <w:tab/>
            </w:r>
          </w:p>
        </w:tc>
        <w:tc>
          <w:tcPr>
            <w:tcW w:w="3543" w:type="dxa"/>
            <w:tcBorders>
              <w:top w:val="nil"/>
              <w:left w:val="single" w:color="000000" w:sz="8" w:space="0"/>
              <w:bottom w:val="single" w:color="000000" w:sz="8" w:space="0"/>
              <w:right w:val="single" w:color="000000" w:sz="8" w:space="0"/>
            </w:tcBorders>
            <w:vAlign w:val="center"/>
          </w:tcPr>
          <w:p w14:paraId="38A6D86E">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机械装配、电气接线、气路搭建、设备固定与连接</w:t>
            </w:r>
          </w:p>
        </w:tc>
        <w:tc>
          <w:tcPr>
            <w:tcW w:w="750" w:type="dxa"/>
            <w:tcBorders>
              <w:top w:val="nil"/>
              <w:left w:val="nil"/>
              <w:bottom w:val="single" w:color="000000" w:sz="8" w:space="0"/>
              <w:right w:val="single" w:color="000000" w:sz="8" w:space="0"/>
            </w:tcBorders>
            <w:vAlign w:val="center"/>
          </w:tcPr>
          <w:p w14:paraId="3E1510C2">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35</w:t>
            </w:r>
          </w:p>
        </w:tc>
        <w:tc>
          <w:tcPr>
            <w:tcW w:w="696" w:type="dxa"/>
            <w:vMerge w:val="restart"/>
            <w:tcBorders>
              <w:top w:val="nil"/>
              <w:left w:val="nil"/>
              <w:right w:val="single" w:color="000000" w:sz="8" w:space="0"/>
            </w:tcBorders>
            <w:vAlign w:val="center"/>
          </w:tcPr>
          <w:p w14:paraId="2FB30D8C">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 xml:space="preserve">100 </w:t>
            </w:r>
          </w:p>
        </w:tc>
      </w:tr>
      <w:tr w14:paraId="4FE16DF2">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4DA32B43">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2</w:t>
            </w:r>
          </w:p>
        </w:tc>
        <w:tc>
          <w:tcPr>
            <w:tcW w:w="2789" w:type="dxa"/>
            <w:tcBorders>
              <w:top w:val="nil"/>
              <w:left w:val="nil"/>
              <w:bottom w:val="single" w:color="auto" w:sz="8" w:space="0"/>
              <w:right w:val="single" w:color="000000" w:sz="8" w:space="0"/>
            </w:tcBorders>
            <w:vAlign w:val="center"/>
          </w:tcPr>
          <w:p w14:paraId="4B147D89">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任务B：工业过程自动化离线仿真</w:t>
            </w:r>
          </w:p>
        </w:tc>
        <w:tc>
          <w:tcPr>
            <w:tcW w:w="3543" w:type="dxa"/>
            <w:tcBorders>
              <w:top w:val="nil"/>
              <w:left w:val="single" w:color="000000" w:sz="8" w:space="0"/>
              <w:bottom w:val="single" w:color="000000" w:sz="8" w:space="0"/>
              <w:right w:val="single" w:color="000000" w:sz="8" w:space="0"/>
            </w:tcBorders>
            <w:vAlign w:val="center"/>
          </w:tcPr>
          <w:p w14:paraId="4942BF37">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工位布局、工艺流程规划、系统参数配置、仿真验证</w:t>
            </w:r>
          </w:p>
        </w:tc>
        <w:tc>
          <w:tcPr>
            <w:tcW w:w="750" w:type="dxa"/>
            <w:tcBorders>
              <w:top w:val="nil"/>
              <w:left w:val="nil"/>
              <w:bottom w:val="single" w:color="000000" w:sz="8" w:space="0"/>
              <w:right w:val="single" w:color="000000" w:sz="8" w:space="0"/>
            </w:tcBorders>
            <w:vAlign w:val="center"/>
          </w:tcPr>
          <w:p w14:paraId="0FEE9DE0">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15</w:t>
            </w:r>
          </w:p>
        </w:tc>
        <w:tc>
          <w:tcPr>
            <w:tcW w:w="696" w:type="dxa"/>
            <w:vMerge w:val="continue"/>
            <w:tcBorders>
              <w:left w:val="nil"/>
              <w:right w:val="single" w:color="000000" w:sz="8" w:space="0"/>
            </w:tcBorders>
            <w:vAlign w:val="center"/>
          </w:tcPr>
          <w:p w14:paraId="242E35BB">
            <w:pPr>
              <w:jc w:val="left"/>
              <w:rPr>
                <w:rFonts w:hint="eastAsia" w:ascii="仿宋" w:hAnsi="仿宋" w:eastAsia="仿宋" w:cs="仿宋"/>
                <w:b w:val="0"/>
                <w:bCs w:val="0"/>
                <w:color w:val="000000"/>
                <w:kern w:val="0"/>
                <w:sz w:val="24"/>
                <w:szCs w:val="24"/>
              </w:rPr>
            </w:pPr>
          </w:p>
        </w:tc>
      </w:tr>
      <w:tr w14:paraId="75D52FC5">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08AE1FB9">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3</w:t>
            </w:r>
          </w:p>
        </w:tc>
        <w:tc>
          <w:tcPr>
            <w:tcW w:w="2789" w:type="dxa"/>
            <w:tcBorders>
              <w:top w:val="nil"/>
              <w:left w:val="nil"/>
              <w:bottom w:val="single" w:color="auto" w:sz="8" w:space="0"/>
              <w:right w:val="single" w:color="000000" w:sz="8" w:space="0"/>
            </w:tcBorders>
            <w:vAlign w:val="center"/>
          </w:tcPr>
          <w:p w14:paraId="036591C9">
            <w:pPr>
              <w:keepNext w:val="0"/>
              <w:keepLines w:val="0"/>
              <w:widowControl/>
              <w:suppressLineNumbers w:val="0"/>
              <w:jc w:val="left"/>
              <w:rPr>
                <w:rFonts w:hint="default" w:ascii="仿宋" w:hAnsi="仿宋" w:eastAsia="仿宋" w:cs="仿宋"/>
                <w:b w:val="0"/>
                <w:bCs w:val="0"/>
                <w:color w:val="000000"/>
                <w:kern w:val="0"/>
                <w:sz w:val="24"/>
                <w:szCs w:val="24"/>
                <w:lang w:val="en-US"/>
              </w:rPr>
            </w:pPr>
            <w:r>
              <w:rPr>
                <w:rFonts w:hint="eastAsia" w:ascii="仿宋" w:hAnsi="仿宋" w:eastAsia="仿宋" w:cs="仿宋"/>
                <w:b w:val="0"/>
                <w:bCs w:val="0"/>
                <w:kern w:val="0"/>
                <w:sz w:val="24"/>
                <w:szCs w:val="24"/>
                <w:lang w:val="en-US" w:eastAsia="zh-CN" w:bidi="ar"/>
              </w:rPr>
              <w:t>任务C：工业机器人参数设置及通讯</w:t>
            </w:r>
          </w:p>
        </w:tc>
        <w:tc>
          <w:tcPr>
            <w:tcW w:w="3543" w:type="dxa"/>
            <w:tcBorders>
              <w:top w:val="nil"/>
              <w:left w:val="single" w:color="000000" w:sz="8" w:space="0"/>
              <w:bottom w:val="single" w:color="000000" w:sz="8" w:space="0"/>
              <w:right w:val="single" w:color="000000" w:sz="8" w:space="0"/>
            </w:tcBorders>
            <w:vAlign w:val="center"/>
          </w:tcPr>
          <w:p w14:paraId="56EFAAA2">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示教编程、逻辑编写、程序调试、动作优化</w:t>
            </w:r>
          </w:p>
        </w:tc>
        <w:tc>
          <w:tcPr>
            <w:tcW w:w="750" w:type="dxa"/>
            <w:tcBorders>
              <w:top w:val="nil"/>
              <w:left w:val="nil"/>
              <w:bottom w:val="single" w:color="000000" w:sz="8" w:space="0"/>
              <w:right w:val="single" w:color="000000" w:sz="8" w:space="0"/>
            </w:tcBorders>
            <w:vAlign w:val="center"/>
          </w:tcPr>
          <w:p w14:paraId="38457BEB">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30</w:t>
            </w:r>
          </w:p>
        </w:tc>
        <w:tc>
          <w:tcPr>
            <w:tcW w:w="696" w:type="dxa"/>
            <w:vMerge w:val="continue"/>
            <w:tcBorders>
              <w:left w:val="nil"/>
              <w:right w:val="single" w:color="000000" w:sz="8" w:space="0"/>
            </w:tcBorders>
            <w:vAlign w:val="center"/>
          </w:tcPr>
          <w:p w14:paraId="4770634D">
            <w:pPr>
              <w:jc w:val="left"/>
              <w:rPr>
                <w:rFonts w:hint="eastAsia" w:ascii="仿宋" w:hAnsi="仿宋" w:eastAsia="仿宋" w:cs="仿宋"/>
                <w:b w:val="0"/>
                <w:bCs w:val="0"/>
                <w:color w:val="000000"/>
                <w:kern w:val="0"/>
                <w:sz w:val="24"/>
                <w:szCs w:val="24"/>
              </w:rPr>
            </w:pPr>
          </w:p>
        </w:tc>
      </w:tr>
      <w:tr w14:paraId="3AB85379">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77F439AE">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4</w:t>
            </w:r>
          </w:p>
        </w:tc>
        <w:tc>
          <w:tcPr>
            <w:tcW w:w="2789" w:type="dxa"/>
            <w:tcBorders>
              <w:top w:val="nil"/>
              <w:left w:val="nil"/>
              <w:bottom w:val="single" w:color="auto" w:sz="8" w:space="0"/>
              <w:right w:val="single" w:color="000000" w:sz="8" w:space="0"/>
            </w:tcBorders>
            <w:vAlign w:val="center"/>
          </w:tcPr>
          <w:p w14:paraId="1FBF3980">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任务D：工业机器人在线编程与监控</w:t>
            </w:r>
            <w:r>
              <w:rPr>
                <w:rFonts w:hint="eastAsia" w:ascii="仿宋" w:hAnsi="仿宋" w:eastAsia="仿宋" w:cs="仿宋"/>
                <w:b w:val="0"/>
                <w:bCs w:val="0"/>
                <w:kern w:val="0"/>
                <w:sz w:val="24"/>
                <w:szCs w:val="24"/>
                <w:lang w:val="en-US" w:eastAsia="zh-CN" w:bidi="ar"/>
              </w:rPr>
              <w:tab/>
            </w:r>
          </w:p>
        </w:tc>
        <w:tc>
          <w:tcPr>
            <w:tcW w:w="3543" w:type="dxa"/>
            <w:tcBorders>
              <w:top w:val="nil"/>
              <w:left w:val="single" w:color="000000" w:sz="8" w:space="0"/>
              <w:bottom w:val="single" w:color="000000" w:sz="8" w:space="0"/>
              <w:right w:val="single" w:color="000000" w:sz="8" w:space="0"/>
            </w:tcBorders>
            <w:vAlign w:val="center"/>
          </w:tcPr>
          <w:p w14:paraId="6DC737D4">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典型作业执行、联机运行、功能联调、质量控制</w:t>
            </w:r>
          </w:p>
        </w:tc>
        <w:tc>
          <w:tcPr>
            <w:tcW w:w="750" w:type="dxa"/>
            <w:tcBorders>
              <w:top w:val="nil"/>
              <w:left w:val="nil"/>
              <w:bottom w:val="single" w:color="000000" w:sz="8" w:space="0"/>
              <w:right w:val="single" w:color="000000" w:sz="8" w:space="0"/>
            </w:tcBorders>
            <w:vAlign w:val="center"/>
          </w:tcPr>
          <w:p w14:paraId="7765818F">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15</w:t>
            </w:r>
          </w:p>
        </w:tc>
        <w:tc>
          <w:tcPr>
            <w:tcW w:w="696" w:type="dxa"/>
            <w:vMerge w:val="continue"/>
            <w:tcBorders>
              <w:left w:val="nil"/>
              <w:right w:val="single" w:color="000000" w:sz="8" w:space="0"/>
            </w:tcBorders>
            <w:vAlign w:val="center"/>
          </w:tcPr>
          <w:p w14:paraId="3005AFB4">
            <w:pPr>
              <w:jc w:val="left"/>
              <w:rPr>
                <w:rFonts w:hint="eastAsia" w:ascii="仿宋" w:hAnsi="仿宋" w:eastAsia="仿宋" w:cs="仿宋"/>
                <w:b w:val="0"/>
                <w:bCs w:val="0"/>
                <w:color w:val="000000"/>
                <w:kern w:val="0"/>
                <w:sz w:val="24"/>
                <w:szCs w:val="24"/>
              </w:rPr>
            </w:pPr>
          </w:p>
        </w:tc>
      </w:tr>
      <w:tr w14:paraId="6CEFB4D2">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000000" w:sz="8" w:space="0"/>
              <w:right w:val="single" w:color="000000" w:sz="8" w:space="0"/>
            </w:tcBorders>
            <w:vAlign w:val="center"/>
          </w:tcPr>
          <w:p w14:paraId="47D41D0B">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5</w:t>
            </w:r>
          </w:p>
        </w:tc>
        <w:tc>
          <w:tcPr>
            <w:tcW w:w="2789" w:type="dxa"/>
            <w:tcBorders>
              <w:top w:val="nil"/>
              <w:left w:val="nil"/>
              <w:bottom w:val="single" w:color="000000" w:sz="8" w:space="0"/>
              <w:right w:val="single" w:color="000000" w:sz="8" w:space="0"/>
            </w:tcBorders>
            <w:vAlign w:val="center"/>
          </w:tcPr>
          <w:p w14:paraId="4BFD3BC3">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任务E：职业素养</w:t>
            </w:r>
          </w:p>
        </w:tc>
        <w:tc>
          <w:tcPr>
            <w:tcW w:w="3543" w:type="dxa"/>
            <w:tcBorders>
              <w:top w:val="nil"/>
              <w:left w:val="single" w:color="000000" w:sz="8" w:space="0"/>
              <w:bottom w:val="single" w:color="000000" w:sz="8" w:space="0"/>
              <w:right w:val="single" w:color="000000" w:sz="8" w:space="0"/>
            </w:tcBorders>
            <w:vAlign w:val="center"/>
          </w:tcPr>
          <w:p w14:paraId="3D773B18">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团队协作、安全规范、作业效率、现场素养</w:t>
            </w:r>
          </w:p>
        </w:tc>
        <w:tc>
          <w:tcPr>
            <w:tcW w:w="750" w:type="dxa"/>
            <w:tcBorders>
              <w:top w:val="nil"/>
              <w:left w:val="nil"/>
              <w:bottom w:val="single" w:color="000000" w:sz="8" w:space="0"/>
              <w:right w:val="single" w:color="000000" w:sz="8" w:space="0"/>
            </w:tcBorders>
            <w:vAlign w:val="center"/>
          </w:tcPr>
          <w:p w14:paraId="4D55ABB9">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5</w:t>
            </w:r>
          </w:p>
        </w:tc>
        <w:tc>
          <w:tcPr>
            <w:tcW w:w="696" w:type="dxa"/>
            <w:vMerge w:val="continue"/>
            <w:tcBorders>
              <w:left w:val="nil"/>
              <w:bottom w:val="single" w:color="000000" w:sz="8" w:space="0"/>
              <w:right w:val="single" w:color="000000" w:sz="8" w:space="0"/>
            </w:tcBorders>
            <w:vAlign w:val="center"/>
          </w:tcPr>
          <w:p w14:paraId="58672961">
            <w:pPr>
              <w:jc w:val="left"/>
              <w:rPr>
                <w:rFonts w:hint="eastAsia" w:ascii="仿宋" w:hAnsi="仿宋" w:eastAsia="仿宋" w:cs="仿宋"/>
                <w:b w:val="0"/>
                <w:bCs w:val="0"/>
                <w:color w:val="000000"/>
                <w:kern w:val="0"/>
                <w:sz w:val="24"/>
                <w:szCs w:val="24"/>
              </w:rPr>
            </w:pPr>
          </w:p>
        </w:tc>
      </w:tr>
    </w:tbl>
    <w:p w14:paraId="5F046B02">
      <w:pPr>
        <w:pageBreakBefore w:val="0"/>
        <w:kinsoku/>
        <w:wordWrap/>
        <w:overflowPunct/>
        <w:topLinePunct w:val="0"/>
        <w:bidi w:val="0"/>
        <w:spacing w:line="240" w:lineRule="auto"/>
        <w:jc w:val="both"/>
        <w:textAlignment w:val="auto"/>
        <w:rPr>
          <w:rFonts w:hint="eastAsia" w:ascii="仿宋" w:hAnsi="仿宋" w:eastAsia="仿宋" w:cs="仿宋"/>
          <w:sz w:val="24"/>
          <w:szCs w:val="24"/>
          <w:lang w:val="en-US" w:eastAsia="zh-CN"/>
        </w:rPr>
      </w:pPr>
    </w:p>
    <w:p w14:paraId="2517C1B3">
      <w:pPr>
        <w:pageBreakBefore w:val="0"/>
        <w:numPr>
          <w:ilvl w:val="0"/>
          <w:numId w:val="0"/>
        </w:numPr>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五、</w:t>
      </w:r>
      <w:r>
        <w:rPr>
          <w:rFonts w:hint="eastAsia" w:ascii="黑体" w:hAnsi="黑体" w:eastAsia="黑体" w:cs="黑体"/>
          <w:sz w:val="30"/>
          <w:szCs w:val="30"/>
          <w:lang w:val="en-US" w:eastAsia="zh-CN"/>
        </w:rPr>
        <w:t>评分要求</w:t>
      </w:r>
    </w:p>
    <w:p w14:paraId="5D115A4F">
      <w:pPr>
        <w:pStyle w:val="10"/>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（一）基本评定方法</w:t>
      </w:r>
    </w:p>
    <w:p w14:paraId="4ABA79C9">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裁判组在坚持“公平、公正、公开、科学、规范”的原则下，各负其责，按照制订的评分细则进行评分。</w:t>
      </w:r>
    </w:p>
    <w:p w14:paraId="3B351838">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现场评分：裁判组在比赛过程中对参赛选手的职业素养以及系统安装调试情况进行观察和评价进行现场评分。</w:t>
      </w:r>
    </w:p>
    <w:p w14:paraId="185C1682">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结果评分：比赛结束后，裁判组根据参赛选手提交的比赛结果进行评分。</w:t>
      </w:r>
    </w:p>
    <w:p w14:paraId="3C9119C4">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成绩汇总：实操比赛成绩经过加密裁判组解密后确定最终比赛成绩，经裁判长审核、仲裁组长复核后签字确认。</w:t>
      </w:r>
    </w:p>
    <w:p w14:paraId="2D807B44">
      <w:pPr>
        <w:pStyle w:val="10"/>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（二）相同成绩处理</w:t>
      </w:r>
    </w:p>
    <w:p w14:paraId="3FF5D8DF">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实操比赛成绩相同时，任务C得分高的名次在前；</w:t>
      </w:r>
    </w:p>
    <w:p w14:paraId="56370CEA">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实操比赛成绩、任务C得分也相同时，任务B得分高的名次在前；</w:t>
      </w:r>
    </w:p>
    <w:p w14:paraId="034F4626">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实操比赛成绩、任务C得分、任务B得分均相同时，职业素养项成绩高的名次在前。</w:t>
      </w:r>
    </w:p>
    <w:p w14:paraId="101A0881">
      <w:pPr>
        <w:pStyle w:val="10"/>
        <w:numPr>
          <w:ilvl w:val="0"/>
          <w:numId w:val="0"/>
        </w:numPr>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（三）</w:t>
      </w:r>
      <w:r>
        <w:rPr>
          <w:rFonts w:hint="eastAsia" w:ascii="仿宋" w:hAnsi="仿宋" w:eastAsia="仿宋" w:cs="仿宋"/>
          <w:sz w:val="24"/>
          <w:szCs w:val="24"/>
          <w:lang w:val="en-US" w:eastAsia="zh-CN"/>
        </w:rPr>
        <w:t>评分方式</w:t>
      </w:r>
    </w:p>
    <w:p w14:paraId="1D1FDA92">
      <w:pPr>
        <w:pStyle w:val="10"/>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实际操作竞赛完全采用客观化评分，裁判对照评分表进行评分。</w:t>
      </w:r>
    </w:p>
    <w:p w14:paraId="4F9BE51B">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六、赛场要求</w:t>
      </w:r>
    </w:p>
    <w:p w14:paraId="3B34B6CC">
      <w:pPr>
        <w:pStyle w:val="10"/>
        <w:pageBreakBefore w:val="0"/>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（一）竞赛场地</w:t>
      </w:r>
    </w:p>
    <w:p w14:paraId="1CA7A04F">
      <w:pPr>
        <w:pStyle w:val="10"/>
        <w:pageBreakBefore w:val="0"/>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竞赛现场设置竞赛区，裁判区，服务区，技术支持区，选手休息区。现场保证良好的采光，照明和通风；提供稳定的水，电、应急设备。</w:t>
      </w:r>
    </w:p>
    <w:p w14:paraId="12933754">
      <w:pPr>
        <w:pStyle w:val="10"/>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（二）竞赛设备</w:t>
      </w:r>
    </w:p>
    <w:p w14:paraId="1451B2E0">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所有竞赛设备由技术支持单位负责提供和保障，竞赛区按照参赛队数量准备比赛所需的软硬件平台，为参赛队提供标准竞赛设备。</w:t>
      </w:r>
    </w:p>
    <w:p w14:paraId="33D3DCBD">
      <w:pPr>
        <w:pStyle w:val="10"/>
        <w:pageBreakBefore w:val="0"/>
        <w:numPr>
          <w:ilvl w:val="0"/>
          <w:numId w:val="0"/>
        </w:numPr>
        <w:kinsoku/>
        <w:wordWrap/>
        <w:overflowPunct/>
        <w:topLinePunct w:val="0"/>
        <w:bidi w:val="0"/>
        <w:spacing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（三）竞赛赛位</w:t>
      </w:r>
    </w:p>
    <w:p w14:paraId="017ACA8F">
      <w:pPr>
        <w:pStyle w:val="10"/>
        <w:pageBreakBefore w:val="0"/>
        <w:numPr>
          <w:ilvl w:val="0"/>
          <w:numId w:val="0"/>
        </w:numPr>
        <w:kinsoku/>
        <w:wordWrap/>
        <w:overflowPunct/>
        <w:topLinePunct w:val="0"/>
        <w:bidi w:val="0"/>
        <w:spacing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竞赛现场各个工作区配备单相220V/16A以上交流电源。每个赛位上标明编号，配有工作台，用于摆放计算机和其它调试设备工具等。</w:t>
      </w:r>
    </w:p>
    <w:p w14:paraId="464F4CC1">
      <w:pPr>
        <w:pStyle w:val="10"/>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（四）技术支持区</w:t>
      </w:r>
    </w:p>
    <w:p w14:paraId="3D8592E4">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技术支持区为参赛选手提供公用备件等竞赛相关设备，</w:t>
      </w:r>
    </w:p>
    <w:p w14:paraId="079A9FE1">
      <w:pPr>
        <w:pStyle w:val="10"/>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（五）服务区</w:t>
      </w:r>
    </w:p>
    <w:p w14:paraId="621D9161">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服务区提供医疗等服务保障。</w:t>
      </w:r>
    </w:p>
    <w:p w14:paraId="428399F1">
      <w:pPr>
        <w:pStyle w:val="5"/>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七、</w:t>
      </w:r>
      <w:r>
        <w:rPr>
          <w:rFonts w:hint="eastAsia" w:ascii="黑体" w:hAnsi="黑体" w:eastAsia="黑体" w:cs="黑体"/>
          <w:sz w:val="30"/>
          <w:szCs w:val="30"/>
          <w:lang w:val="en-US" w:eastAsia="zh-CN"/>
        </w:rPr>
        <w:t>赛场提供物品</w:t>
      </w:r>
    </w:p>
    <w:tbl>
      <w:tblPr>
        <w:tblStyle w:val="12"/>
        <w:tblW w:w="4998" w:type="pct"/>
        <w:jc w:val="center"/>
        <w:tblLayout w:type="autofit"/>
        <w:tblCellMar>
          <w:top w:w="0" w:type="dxa"/>
          <w:left w:w="79" w:type="dxa"/>
          <w:bottom w:w="69" w:type="dxa"/>
          <w:right w:w="79" w:type="dxa"/>
        </w:tblCellMar>
      </w:tblPr>
      <w:tblGrid>
        <w:gridCol w:w="806"/>
        <w:gridCol w:w="1561"/>
        <w:gridCol w:w="4497"/>
        <w:gridCol w:w="889"/>
        <w:gridCol w:w="708"/>
      </w:tblGrid>
      <w:tr w14:paraId="160E3D2F">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7B66ABDF">
            <w:pPr>
              <w:spacing w:after="0"/>
              <w:ind w:left="91"/>
              <w:jc w:val="both"/>
              <w:rPr>
                <w:sz w:val="22"/>
                <w:szCs w:val="22"/>
              </w:rPr>
            </w:pPr>
            <w:r>
              <w:rPr>
                <w:rFonts w:ascii="仿宋" w:hAnsi="仿宋" w:eastAsia="仿宋" w:cs="仿宋"/>
                <w:sz w:val="22"/>
                <w:szCs w:val="22"/>
              </w:rPr>
              <w:t>序号</w:t>
            </w:r>
          </w:p>
        </w:tc>
        <w:tc>
          <w:tcPr>
            <w:tcW w:w="922" w:type="pct"/>
            <w:tcBorders>
              <w:top w:val="single" w:color="000000" w:sz="4" w:space="0"/>
              <w:left w:val="single" w:color="000000" w:sz="4" w:space="0"/>
              <w:bottom w:val="single" w:color="000000" w:sz="4" w:space="0"/>
              <w:right w:val="single" w:color="000000" w:sz="4" w:space="0"/>
            </w:tcBorders>
            <w:vAlign w:val="bottom"/>
          </w:tcPr>
          <w:p w14:paraId="3BC97900">
            <w:pPr>
              <w:spacing w:after="0"/>
              <w:ind w:left="271"/>
              <w:jc w:val="left"/>
              <w:rPr>
                <w:sz w:val="22"/>
                <w:szCs w:val="22"/>
              </w:rPr>
            </w:pPr>
            <w:r>
              <w:rPr>
                <w:rFonts w:ascii="仿宋" w:hAnsi="仿宋" w:eastAsia="仿宋" w:cs="仿宋"/>
                <w:sz w:val="22"/>
                <w:szCs w:val="22"/>
              </w:rPr>
              <w:t>名称</w:t>
            </w:r>
          </w:p>
        </w:tc>
        <w:tc>
          <w:tcPr>
            <w:tcW w:w="2656" w:type="pct"/>
            <w:tcBorders>
              <w:top w:val="single" w:color="000000" w:sz="4" w:space="0"/>
              <w:left w:val="single" w:color="000000" w:sz="4" w:space="0"/>
              <w:bottom w:val="single" w:color="000000" w:sz="4" w:space="0"/>
              <w:right w:val="single" w:color="000000" w:sz="4" w:space="0"/>
            </w:tcBorders>
            <w:vAlign w:val="bottom"/>
          </w:tcPr>
          <w:p w14:paraId="75556BBC">
            <w:pPr>
              <w:spacing w:after="0"/>
              <w:ind w:left="2"/>
              <w:jc w:val="center"/>
              <w:rPr>
                <w:sz w:val="22"/>
                <w:szCs w:val="22"/>
              </w:rPr>
            </w:pPr>
            <w:r>
              <w:rPr>
                <w:rFonts w:ascii="仿宋" w:hAnsi="仿宋" w:eastAsia="仿宋" w:cs="仿宋"/>
                <w:sz w:val="22"/>
                <w:szCs w:val="22"/>
              </w:rPr>
              <w:t>说明</w:t>
            </w:r>
          </w:p>
        </w:tc>
        <w:tc>
          <w:tcPr>
            <w:tcW w:w="525" w:type="pct"/>
            <w:tcBorders>
              <w:top w:val="single" w:color="000000" w:sz="4" w:space="0"/>
              <w:left w:val="single" w:color="000000" w:sz="4" w:space="0"/>
              <w:bottom w:val="single" w:color="000000" w:sz="4" w:space="0"/>
              <w:right w:val="single" w:color="000000" w:sz="4" w:space="0"/>
            </w:tcBorders>
            <w:vAlign w:val="bottom"/>
          </w:tcPr>
          <w:p w14:paraId="25F6F113">
            <w:pPr>
              <w:spacing w:after="0"/>
              <w:ind w:left="91"/>
              <w:jc w:val="both"/>
              <w:rPr>
                <w:sz w:val="22"/>
                <w:szCs w:val="22"/>
              </w:rPr>
            </w:pPr>
            <w:r>
              <w:rPr>
                <w:rFonts w:ascii="仿宋" w:hAnsi="仿宋" w:eastAsia="仿宋" w:cs="仿宋"/>
                <w:sz w:val="22"/>
                <w:szCs w:val="22"/>
              </w:rPr>
              <w:t>数量</w:t>
            </w:r>
          </w:p>
        </w:tc>
        <w:tc>
          <w:tcPr>
            <w:tcW w:w="418" w:type="pct"/>
            <w:tcBorders>
              <w:top w:val="single" w:color="000000" w:sz="4" w:space="0"/>
              <w:left w:val="single" w:color="000000" w:sz="4" w:space="0"/>
              <w:bottom w:val="single" w:color="000000" w:sz="4" w:space="0"/>
              <w:right w:val="single" w:color="000000" w:sz="4" w:space="0"/>
            </w:tcBorders>
            <w:vAlign w:val="bottom"/>
          </w:tcPr>
          <w:p w14:paraId="4C1175FA">
            <w:pPr>
              <w:spacing w:after="0"/>
              <w:jc w:val="both"/>
              <w:rPr>
                <w:sz w:val="22"/>
                <w:szCs w:val="22"/>
              </w:rPr>
            </w:pPr>
            <w:r>
              <w:rPr>
                <w:rFonts w:ascii="仿宋" w:hAnsi="仿宋" w:eastAsia="仿宋" w:cs="仿宋"/>
                <w:sz w:val="22"/>
                <w:szCs w:val="22"/>
              </w:rPr>
              <w:t>单位</w:t>
            </w:r>
          </w:p>
        </w:tc>
      </w:tr>
      <w:tr w14:paraId="3077827C">
        <w:tblPrEx>
          <w:tblCellMar>
            <w:top w:w="0" w:type="dxa"/>
            <w:left w:w="79" w:type="dxa"/>
            <w:bottom w:w="69" w:type="dxa"/>
            <w:right w:w="79" w:type="dxa"/>
          </w:tblCellMar>
        </w:tblPrEx>
        <w:trPr>
          <w:trHeight w:val="33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3F85725C">
            <w:pPr>
              <w:spacing w:after="0"/>
              <w:jc w:val="center"/>
              <w:rPr>
                <w:sz w:val="22"/>
                <w:szCs w:val="22"/>
              </w:rPr>
            </w:pPr>
            <w:r>
              <w:rPr>
                <w:rFonts w:ascii="仿宋" w:hAnsi="仿宋" w:eastAsia="仿宋" w:cs="仿宋"/>
                <w:sz w:val="22"/>
                <w:szCs w:val="22"/>
              </w:rPr>
              <w:t>1</w:t>
            </w:r>
          </w:p>
        </w:tc>
        <w:tc>
          <w:tcPr>
            <w:tcW w:w="922" w:type="pct"/>
            <w:tcBorders>
              <w:top w:val="single" w:color="000000" w:sz="4" w:space="0"/>
              <w:left w:val="single" w:color="000000" w:sz="4" w:space="0"/>
              <w:bottom w:val="single" w:color="000000" w:sz="4" w:space="0"/>
              <w:right w:val="single" w:color="000000" w:sz="4" w:space="0"/>
            </w:tcBorders>
            <w:vAlign w:val="bottom"/>
          </w:tcPr>
          <w:p w14:paraId="2E069FE4">
            <w:pPr>
              <w:spacing w:after="0"/>
              <w:ind w:left="271"/>
              <w:jc w:val="left"/>
              <w:rPr>
                <w:sz w:val="22"/>
                <w:szCs w:val="22"/>
              </w:rPr>
            </w:pPr>
            <w:r>
              <w:rPr>
                <w:rFonts w:ascii="仿宋" w:hAnsi="仿宋" w:eastAsia="仿宋" w:cs="仿宋"/>
                <w:sz w:val="22"/>
                <w:szCs w:val="22"/>
              </w:rPr>
              <w:t>导线</w:t>
            </w:r>
          </w:p>
        </w:tc>
        <w:tc>
          <w:tcPr>
            <w:tcW w:w="2656" w:type="pct"/>
            <w:tcBorders>
              <w:top w:val="single" w:color="000000" w:sz="4" w:space="0"/>
              <w:left w:val="single" w:color="000000" w:sz="4" w:space="0"/>
              <w:bottom w:val="single" w:color="000000" w:sz="4" w:space="0"/>
              <w:right w:val="single" w:color="000000" w:sz="4" w:space="0"/>
            </w:tcBorders>
            <w:vAlign w:val="bottom"/>
          </w:tcPr>
          <w:p w14:paraId="0C3D3B6B">
            <w:pPr>
              <w:spacing w:after="0"/>
              <w:ind w:left="72"/>
              <w:jc w:val="both"/>
              <w:rPr>
                <w:rFonts w:hint="eastAsia" w:eastAsia="仿宋"/>
                <w:sz w:val="22"/>
                <w:szCs w:val="22"/>
                <w:lang w:eastAsia="zh-CN"/>
              </w:rPr>
            </w:pPr>
            <w:r>
              <w:rPr>
                <w:rFonts w:ascii="仿宋" w:hAnsi="仿宋" w:eastAsia="仿宋" w:cs="仿宋"/>
                <w:sz w:val="22"/>
                <w:szCs w:val="22"/>
              </w:rPr>
              <w:t>单根多股/铜芯/塑料绝缘/</w:t>
            </w:r>
            <w:r>
              <w:rPr>
                <w:rFonts w:hint="eastAsia" w:ascii="仿宋" w:hAnsi="仿宋" w:eastAsia="仿宋" w:cs="仿宋"/>
                <w:sz w:val="22"/>
                <w:szCs w:val="22"/>
                <w:lang w:val="en-US" w:eastAsia="zh-CN"/>
              </w:rPr>
              <w:t>0.5</w:t>
            </w:r>
            <w:r>
              <w:rPr>
                <w:rFonts w:ascii="仿宋" w:hAnsi="仿宋" w:eastAsia="仿宋" w:cs="仿宋"/>
                <w:sz w:val="22"/>
                <w:szCs w:val="22"/>
              </w:rPr>
              <w:t>mm</w:t>
            </w:r>
            <w:r>
              <w:rPr>
                <w:rFonts w:hint="eastAsia" w:ascii="仿宋" w:hAnsi="仿宋" w:eastAsia="仿宋" w:cs="仿宋"/>
                <w:sz w:val="22"/>
                <w:szCs w:val="22"/>
                <w:lang w:val="en-US" w:eastAsia="zh-CN"/>
              </w:rPr>
              <w:t>²</w:t>
            </w:r>
          </w:p>
        </w:tc>
        <w:tc>
          <w:tcPr>
            <w:tcW w:w="525" w:type="pct"/>
            <w:tcBorders>
              <w:top w:val="single" w:color="000000" w:sz="4" w:space="0"/>
              <w:left w:val="single" w:color="000000" w:sz="4" w:space="0"/>
              <w:bottom w:val="single" w:color="000000" w:sz="4" w:space="0"/>
              <w:right w:val="single" w:color="000000" w:sz="4" w:space="0"/>
            </w:tcBorders>
            <w:vAlign w:val="bottom"/>
          </w:tcPr>
          <w:p w14:paraId="14A8E190">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0035E2AA">
            <w:pPr>
              <w:spacing w:after="0"/>
              <w:ind w:left="142"/>
              <w:jc w:val="both"/>
              <w:rPr>
                <w:sz w:val="22"/>
                <w:szCs w:val="22"/>
              </w:rPr>
            </w:pPr>
            <w:r>
              <w:rPr>
                <w:rFonts w:ascii="仿宋" w:hAnsi="仿宋" w:eastAsia="仿宋" w:cs="仿宋"/>
                <w:sz w:val="22"/>
                <w:szCs w:val="22"/>
              </w:rPr>
              <w:t>米</w:t>
            </w:r>
          </w:p>
        </w:tc>
      </w:tr>
      <w:tr w14:paraId="33DFA94E">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04EBF287">
            <w:pPr>
              <w:spacing w:after="0"/>
              <w:jc w:val="center"/>
              <w:rPr>
                <w:sz w:val="22"/>
                <w:szCs w:val="22"/>
              </w:rPr>
            </w:pPr>
            <w:r>
              <w:rPr>
                <w:rFonts w:ascii="仿宋" w:hAnsi="仿宋" w:eastAsia="仿宋" w:cs="仿宋"/>
                <w:sz w:val="22"/>
                <w:szCs w:val="22"/>
              </w:rPr>
              <w:t>2</w:t>
            </w:r>
          </w:p>
        </w:tc>
        <w:tc>
          <w:tcPr>
            <w:tcW w:w="922" w:type="pct"/>
            <w:tcBorders>
              <w:top w:val="single" w:color="000000" w:sz="4" w:space="0"/>
              <w:left w:val="single" w:color="000000" w:sz="4" w:space="0"/>
              <w:bottom w:val="single" w:color="000000" w:sz="4" w:space="0"/>
              <w:right w:val="single" w:color="000000" w:sz="4" w:space="0"/>
            </w:tcBorders>
            <w:vAlign w:val="bottom"/>
          </w:tcPr>
          <w:p w14:paraId="4DB2B2E6">
            <w:pPr>
              <w:spacing w:after="0"/>
              <w:ind w:left="132"/>
              <w:jc w:val="left"/>
              <w:rPr>
                <w:sz w:val="22"/>
                <w:szCs w:val="22"/>
              </w:rPr>
            </w:pPr>
            <w:r>
              <w:rPr>
                <w:rFonts w:ascii="仿宋" w:hAnsi="仿宋" w:eastAsia="仿宋" w:cs="仿宋"/>
                <w:sz w:val="22"/>
                <w:szCs w:val="22"/>
              </w:rPr>
              <w:t>线号管</w:t>
            </w:r>
          </w:p>
        </w:tc>
        <w:tc>
          <w:tcPr>
            <w:tcW w:w="2656" w:type="pct"/>
            <w:tcBorders>
              <w:top w:val="single" w:color="000000" w:sz="4" w:space="0"/>
              <w:left w:val="single" w:color="000000" w:sz="4" w:space="0"/>
              <w:bottom w:val="single" w:color="000000" w:sz="4" w:space="0"/>
              <w:right w:val="single" w:color="000000" w:sz="4" w:space="0"/>
            </w:tcBorders>
            <w:vAlign w:val="bottom"/>
          </w:tcPr>
          <w:p w14:paraId="306949A4">
            <w:pPr>
              <w:spacing w:after="0"/>
              <w:ind w:left="281"/>
              <w:rPr>
                <w:sz w:val="22"/>
                <w:szCs w:val="22"/>
              </w:rPr>
            </w:pPr>
            <w:r>
              <w:rPr>
                <w:rFonts w:ascii="仿宋" w:hAnsi="仿宋" w:eastAsia="仿宋" w:cs="仿宋"/>
                <w:sz w:val="22"/>
                <w:szCs w:val="22"/>
              </w:rPr>
              <w:t>用于导线连接端子编号/</w:t>
            </w:r>
            <w:r>
              <w:rPr>
                <w:rFonts w:hint="eastAsia" w:ascii="仿宋" w:hAnsi="仿宋" w:eastAsia="仿宋" w:cs="仿宋"/>
                <w:sz w:val="22"/>
                <w:szCs w:val="22"/>
                <w:lang w:val="en-US" w:eastAsia="zh-CN"/>
              </w:rPr>
              <w:t>1.0</w:t>
            </w:r>
            <w:r>
              <w:rPr>
                <w:rFonts w:ascii="仿宋" w:hAnsi="仿宋" w:eastAsia="仿宋" w:cs="仿宋"/>
                <w:sz w:val="22"/>
                <w:szCs w:val="22"/>
              </w:rPr>
              <w:t>mm</w:t>
            </w:r>
            <w:r>
              <w:rPr>
                <w:rFonts w:hint="eastAsia" w:ascii="仿宋" w:hAnsi="仿宋" w:eastAsia="仿宋" w:cs="仿宋"/>
                <w:sz w:val="22"/>
                <w:szCs w:val="22"/>
                <w:lang w:val="en-US" w:eastAsia="zh-CN"/>
              </w:rPr>
              <w:t>²</w:t>
            </w:r>
          </w:p>
        </w:tc>
        <w:tc>
          <w:tcPr>
            <w:tcW w:w="525" w:type="pct"/>
            <w:tcBorders>
              <w:top w:val="single" w:color="000000" w:sz="4" w:space="0"/>
              <w:left w:val="single" w:color="000000" w:sz="4" w:space="0"/>
              <w:bottom w:val="single" w:color="000000" w:sz="4" w:space="0"/>
              <w:right w:val="single" w:color="000000" w:sz="4" w:space="0"/>
            </w:tcBorders>
            <w:vAlign w:val="bottom"/>
          </w:tcPr>
          <w:p w14:paraId="6D262721">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23CA6BCF">
            <w:pPr>
              <w:spacing w:after="0"/>
              <w:ind w:left="142"/>
              <w:jc w:val="both"/>
              <w:rPr>
                <w:sz w:val="22"/>
                <w:szCs w:val="22"/>
              </w:rPr>
            </w:pPr>
            <w:r>
              <w:rPr>
                <w:rFonts w:ascii="仿宋" w:hAnsi="仿宋" w:eastAsia="仿宋" w:cs="仿宋"/>
                <w:sz w:val="22"/>
                <w:szCs w:val="22"/>
              </w:rPr>
              <w:t>米</w:t>
            </w:r>
          </w:p>
        </w:tc>
      </w:tr>
      <w:tr w14:paraId="4F047EE2">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608E1228">
            <w:pPr>
              <w:spacing w:after="0"/>
              <w:jc w:val="center"/>
              <w:rPr>
                <w:sz w:val="22"/>
                <w:szCs w:val="22"/>
              </w:rPr>
            </w:pPr>
            <w:r>
              <w:rPr>
                <w:rFonts w:ascii="仿宋" w:hAnsi="仿宋" w:eastAsia="仿宋" w:cs="仿宋"/>
                <w:sz w:val="22"/>
                <w:szCs w:val="22"/>
              </w:rPr>
              <w:t>3</w:t>
            </w:r>
          </w:p>
        </w:tc>
        <w:tc>
          <w:tcPr>
            <w:tcW w:w="922" w:type="pct"/>
            <w:tcBorders>
              <w:top w:val="single" w:color="000000" w:sz="4" w:space="0"/>
              <w:left w:val="single" w:color="000000" w:sz="4" w:space="0"/>
              <w:bottom w:val="single" w:color="000000" w:sz="4" w:space="0"/>
              <w:right w:val="single" w:color="000000" w:sz="4" w:space="0"/>
            </w:tcBorders>
            <w:vAlign w:val="bottom"/>
          </w:tcPr>
          <w:p w14:paraId="558DECAC">
            <w:pPr>
              <w:spacing w:after="0"/>
              <w:ind w:left="271"/>
              <w:jc w:val="left"/>
              <w:rPr>
                <w:sz w:val="22"/>
                <w:szCs w:val="22"/>
              </w:rPr>
            </w:pPr>
            <w:r>
              <w:rPr>
                <w:rFonts w:ascii="仿宋" w:hAnsi="仿宋" w:eastAsia="仿宋" w:cs="仿宋"/>
                <w:sz w:val="22"/>
                <w:szCs w:val="22"/>
              </w:rPr>
              <w:t>气管</w:t>
            </w:r>
          </w:p>
        </w:tc>
        <w:tc>
          <w:tcPr>
            <w:tcW w:w="2656" w:type="pct"/>
            <w:tcBorders>
              <w:top w:val="single" w:color="000000" w:sz="4" w:space="0"/>
              <w:left w:val="single" w:color="000000" w:sz="4" w:space="0"/>
              <w:bottom w:val="single" w:color="000000" w:sz="4" w:space="0"/>
              <w:right w:val="single" w:color="000000" w:sz="4" w:space="0"/>
            </w:tcBorders>
            <w:vAlign w:val="bottom"/>
          </w:tcPr>
          <w:p w14:paraId="6157F801">
            <w:pPr>
              <w:spacing w:after="0"/>
              <w:ind w:left="1"/>
              <w:jc w:val="center"/>
              <w:rPr>
                <w:sz w:val="22"/>
                <w:szCs w:val="22"/>
              </w:rPr>
            </w:pPr>
            <w:r>
              <w:rPr>
                <w:rFonts w:ascii="仿宋" w:hAnsi="仿宋" w:eastAsia="仿宋" w:cs="仿宋"/>
                <w:sz w:val="22"/>
                <w:szCs w:val="22"/>
              </w:rPr>
              <w:t>Φ4</w:t>
            </w:r>
          </w:p>
        </w:tc>
        <w:tc>
          <w:tcPr>
            <w:tcW w:w="525" w:type="pct"/>
            <w:tcBorders>
              <w:top w:val="single" w:color="000000" w:sz="4" w:space="0"/>
              <w:left w:val="single" w:color="000000" w:sz="4" w:space="0"/>
              <w:bottom w:val="single" w:color="000000" w:sz="4" w:space="0"/>
              <w:right w:val="single" w:color="000000" w:sz="4" w:space="0"/>
            </w:tcBorders>
            <w:vAlign w:val="bottom"/>
          </w:tcPr>
          <w:p w14:paraId="5456E88C">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381EA15B">
            <w:pPr>
              <w:spacing w:after="0"/>
              <w:ind w:left="142"/>
              <w:jc w:val="both"/>
              <w:rPr>
                <w:sz w:val="22"/>
                <w:szCs w:val="22"/>
              </w:rPr>
            </w:pPr>
            <w:r>
              <w:rPr>
                <w:rFonts w:ascii="仿宋" w:hAnsi="仿宋" w:eastAsia="仿宋" w:cs="仿宋"/>
                <w:sz w:val="22"/>
                <w:szCs w:val="22"/>
              </w:rPr>
              <w:t>米</w:t>
            </w:r>
          </w:p>
        </w:tc>
      </w:tr>
      <w:tr w14:paraId="5BFAB686">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62D9AFF0">
            <w:pPr>
              <w:spacing w:after="0"/>
              <w:jc w:val="center"/>
              <w:rPr>
                <w:sz w:val="22"/>
                <w:szCs w:val="22"/>
              </w:rPr>
            </w:pPr>
            <w:r>
              <w:rPr>
                <w:rFonts w:ascii="仿宋" w:hAnsi="仿宋" w:eastAsia="仿宋" w:cs="仿宋"/>
                <w:sz w:val="22"/>
                <w:szCs w:val="22"/>
              </w:rPr>
              <w:t>4</w:t>
            </w:r>
          </w:p>
        </w:tc>
        <w:tc>
          <w:tcPr>
            <w:tcW w:w="922" w:type="pct"/>
            <w:tcBorders>
              <w:top w:val="single" w:color="000000" w:sz="4" w:space="0"/>
              <w:left w:val="single" w:color="000000" w:sz="4" w:space="0"/>
              <w:bottom w:val="single" w:color="000000" w:sz="4" w:space="0"/>
              <w:right w:val="single" w:color="000000" w:sz="4" w:space="0"/>
            </w:tcBorders>
            <w:vAlign w:val="bottom"/>
          </w:tcPr>
          <w:p w14:paraId="0E7C221F">
            <w:pPr>
              <w:spacing w:after="0"/>
              <w:ind w:left="271"/>
              <w:jc w:val="left"/>
              <w:rPr>
                <w:sz w:val="22"/>
                <w:szCs w:val="22"/>
              </w:rPr>
            </w:pPr>
            <w:r>
              <w:rPr>
                <w:rFonts w:ascii="仿宋" w:hAnsi="仿宋" w:eastAsia="仿宋" w:cs="仿宋"/>
                <w:sz w:val="22"/>
                <w:szCs w:val="22"/>
              </w:rPr>
              <w:t>扎带</w:t>
            </w:r>
          </w:p>
        </w:tc>
        <w:tc>
          <w:tcPr>
            <w:tcW w:w="2656" w:type="pct"/>
            <w:tcBorders>
              <w:top w:val="single" w:color="000000" w:sz="4" w:space="0"/>
              <w:left w:val="single" w:color="000000" w:sz="4" w:space="0"/>
              <w:bottom w:val="single" w:color="000000" w:sz="4" w:space="0"/>
              <w:right w:val="single" w:color="000000" w:sz="4" w:space="0"/>
            </w:tcBorders>
            <w:vAlign w:val="bottom"/>
          </w:tcPr>
          <w:p w14:paraId="08BC10F9">
            <w:pPr>
              <w:spacing w:after="0"/>
              <w:ind w:left="2"/>
              <w:jc w:val="center"/>
              <w:rPr>
                <w:sz w:val="22"/>
                <w:szCs w:val="22"/>
              </w:rPr>
            </w:pPr>
            <w:r>
              <w:rPr>
                <w:rFonts w:ascii="仿宋" w:hAnsi="仿宋" w:eastAsia="仿宋" w:cs="仿宋"/>
                <w:sz w:val="22"/>
                <w:szCs w:val="22"/>
              </w:rPr>
              <w:t>黑色、白色</w:t>
            </w:r>
          </w:p>
        </w:tc>
        <w:tc>
          <w:tcPr>
            <w:tcW w:w="525" w:type="pct"/>
            <w:tcBorders>
              <w:top w:val="single" w:color="000000" w:sz="4" w:space="0"/>
              <w:left w:val="single" w:color="000000" w:sz="4" w:space="0"/>
              <w:bottom w:val="single" w:color="000000" w:sz="4" w:space="0"/>
              <w:right w:val="single" w:color="000000" w:sz="4" w:space="0"/>
            </w:tcBorders>
            <w:vAlign w:val="bottom"/>
          </w:tcPr>
          <w:p w14:paraId="336475D3">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60B9D80E">
            <w:pPr>
              <w:spacing w:after="0"/>
              <w:ind w:left="142"/>
              <w:jc w:val="both"/>
              <w:rPr>
                <w:sz w:val="22"/>
                <w:szCs w:val="22"/>
              </w:rPr>
            </w:pPr>
            <w:r>
              <w:rPr>
                <w:rFonts w:ascii="仿宋" w:hAnsi="仿宋" w:eastAsia="仿宋" w:cs="仿宋"/>
                <w:sz w:val="22"/>
                <w:szCs w:val="22"/>
              </w:rPr>
              <w:t>根</w:t>
            </w:r>
          </w:p>
        </w:tc>
      </w:tr>
      <w:tr w14:paraId="50837715">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6DA19727">
            <w:pPr>
              <w:spacing w:after="0"/>
              <w:jc w:val="center"/>
              <w:rPr>
                <w:sz w:val="22"/>
                <w:szCs w:val="22"/>
              </w:rPr>
            </w:pPr>
            <w:r>
              <w:rPr>
                <w:rFonts w:ascii="仿宋" w:hAnsi="仿宋" w:eastAsia="仿宋" w:cs="仿宋"/>
                <w:sz w:val="22"/>
                <w:szCs w:val="22"/>
              </w:rPr>
              <w:t>5</w:t>
            </w:r>
          </w:p>
        </w:tc>
        <w:tc>
          <w:tcPr>
            <w:tcW w:w="922" w:type="pct"/>
            <w:tcBorders>
              <w:top w:val="single" w:color="000000" w:sz="4" w:space="0"/>
              <w:left w:val="single" w:color="000000" w:sz="4" w:space="0"/>
              <w:bottom w:val="single" w:color="000000" w:sz="4" w:space="0"/>
              <w:right w:val="single" w:color="000000" w:sz="4" w:space="0"/>
            </w:tcBorders>
            <w:vAlign w:val="bottom"/>
          </w:tcPr>
          <w:p w14:paraId="543D3106">
            <w:pPr>
              <w:spacing w:after="0"/>
              <w:ind w:left="271"/>
              <w:jc w:val="left"/>
              <w:rPr>
                <w:sz w:val="22"/>
                <w:szCs w:val="22"/>
              </w:rPr>
            </w:pPr>
            <w:r>
              <w:rPr>
                <w:rFonts w:ascii="仿宋" w:hAnsi="仿宋" w:eastAsia="仿宋" w:cs="仿宋"/>
                <w:sz w:val="22"/>
                <w:szCs w:val="22"/>
              </w:rPr>
              <w:t>线针</w:t>
            </w:r>
          </w:p>
        </w:tc>
        <w:tc>
          <w:tcPr>
            <w:tcW w:w="2656" w:type="pct"/>
            <w:tcBorders>
              <w:top w:val="single" w:color="000000" w:sz="4" w:space="0"/>
              <w:left w:val="single" w:color="000000" w:sz="4" w:space="0"/>
              <w:bottom w:val="single" w:color="000000" w:sz="4" w:space="0"/>
              <w:right w:val="single" w:color="000000" w:sz="4" w:space="0"/>
            </w:tcBorders>
            <w:vAlign w:val="bottom"/>
          </w:tcPr>
          <w:p w14:paraId="6B0F2049">
            <w:pPr>
              <w:spacing w:after="0"/>
              <w:ind w:left="1"/>
              <w:jc w:val="center"/>
              <w:rPr>
                <w:sz w:val="22"/>
                <w:szCs w:val="22"/>
              </w:rPr>
            </w:pPr>
            <w:r>
              <w:rPr>
                <w:rFonts w:ascii="仿宋" w:hAnsi="仿宋" w:eastAsia="仿宋" w:cs="仿宋"/>
                <w:sz w:val="22"/>
                <w:szCs w:val="22"/>
              </w:rPr>
              <w:t>0.5</w:t>
            </w:r>
          </w:p>
        </w:tc>
        <w:tc>
          <w:tcPr>
            <w:tcW w:w="525" w:type="pct"/>
            <w:tcBorders>
              <w:top w:val="single" w:color="000000" w:sz="4" w:space="0"/>
              <w:left w:val="single" w:color="000000" w:sz="4" w:space="0"/>
              <w:bottom w:val="single" w:color="000000" w:sz="4" w:space="0"/>
              <w:right w:val="single" w:color="000000" w:sz="4" w:space="0"/>
            </w:tcBorders>
            <w:vAlign w:val="bottom"/>
          </w:tcPr>
          <w:p w14:paraId="6B7104F9">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76402F55">
            <w:pPr>
              <w:spacing w:after="0"/>
              <w:ind w:left="142"/>
              <w:jc w:val="both"/>
              <w:rPr>
                <w:sz w:val="22"/>
                <w:szCs w:val="22"/>
              </w:rPr>
            </w:pPr>
            <w:r>
              <w:rPr>
                <w:rFonts w:ascii="仿宋" w:hAnsi="仿宋" w:eastAsia="仿宋" w:cs="仿宋"/>
                <w:sz w:val="22"/>
                <w:szCs w:val="22"/>
              </w:rPr>
              <w:t>个</w:t>
            </w:r>
          </w:p>
        </w:tc>
      </w:tr>
      <w:tr w14:paraId="30222DF0">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193090EA">
            <w:pPr>
              <w:spacing w:after="0"/>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7</w:t>
            </w:r>
          </w:p>
        </w:tc>
        <w:tc>
          <w:tcPr>
            <w:tcW w:w="922" w:type="pct"/>
            <w:tcBorders>
              <w:top w:val="single" w:color="000000" w:sz="4" w:space="0"/>
              <w:left w:val="single" w:color="000000" w:sz="4" w:space="0"/>
              <w:bottom w:val="single" w:color="000000" w:sz="4" w:space="0"/>
              <w:right w:val="single" w:color="000000" w:sz="4" w:space="0"/>
            </w:tcBorders>
            <w:vAlign w:val="bottom"/>
          </w:tcPr>
          <w:p w14:paraId="3A06E7A1">
            <w:pPr>
              <w:spacing w:after="0"/>
              <w:ind w:left="271"/>
              <w:jc w:val="left"/>
              <w:rPr>
                <w:rFonts w:ascii="仿宋" w:hAnsi="仿宋" w:eastAsia="仿宋" w:cs="仿宋"/>
                <w:sz w:val="22"/>
                <w:szCs w:val="22"/>
              </w:rPr>
            </w:pPr>
            <w:r>
              <w:rPr>
                <w:rFonts w:hint="eastAsia" w:ascii="仿宋" w:hAnsi="仿宋" w:eastAsia="仿宋" w:cs="仿宋"/>
                <w:sz w:val="22"/>
                <w:szCs w:val="22"/>
              </w:rPr>
              <w:t>皮带</w:t>
            </w:r>
          </w:p>
        </w:tc>
        <w:tc>
          <w:tcPr>
            <w:tcW w:w="2656" w:type="pct"/>
            <w:tcBorders>
              <w:top w:val="single" w:color="000000" w:sz="4" w:space="0"/>
              <w:left w:val="single" w:color="000000" w:sz="4" w:space="0"/>
              <w:bottom w:val="single" w:color="000000" w:sz="4" w:space="0"/>
              <w:right w:val="single" w:color="000000" w:sz="4" w:space="0"/>
            </w:tcBorders>
            <w:vAlign w:val="bottom"/>
          </w:tcPr>
          <w:p w14:paraId="3D36D76A">
            <w:pPr>
              <w:spacing w:after="0"/>
              <w:ind w:left="2"/>
              <w:jc w:val="center"/>
              <w:rPr>
                <w:rFonts w:ascii="仿宋" w:hAnsi="仿宋" w:eastAsia="仿宋" w:cs="仿宋"/>
                <w:sz w:val="22"/>
                <w:szCs w:val="22"/>
              </w:rPr>
            </w:pPr>
          </w:p>
        </w:tc>
        <w:tc>
          <w:tcPr>
            <w:tcW w:w="525" w:type="pct"/>
            <w:tcBorders>
              <w:top w:val="single" w:color="000000" w:sz="4" w:space="0"/>
              <w:left w:val="single" w:color="000000" w:sz="4" w:space="0"/>
              <w:bottom w:val="single" w:color="000000" w:sz="4" w:space="0"/>
              <w:right w:val="single" w:color="000000" w:sz="4" w:space="0"/>
            </w:tcBorders>
            <w:vAlign w:val="bottom"/>
          </w:tcPr>
          <w:p w14:paraId="163973DA">
            <w:pPr>
              <w:spacing w:after="0"/>
              <w:ind w:left="91"/>
              <w:jc w:val="both"/>
              <w:rPr>
                <w:rFonts w:ascii="仿宋" w:hAnsi="仿宋" w:eastAsia="仿宋" w:cs="仿宋"/>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0DF06A9E">
            <w:pPr>
              <w:spacing w:after="0"/>
              <w:ind w:left="142"/>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条</w:t>
            </w:r>
          </w:p>
        </w:tc>
      </w:tr>
      <w:tr w14:paraId="21AA1894">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67CA2AB8">
            <w:pPr>
              <w:spacing w:after="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8</w:t>
            </w:r>
          </w:p>
        </w:tc>
        <w:tc>
          <w:tcPr>
            <w:tcW w:w="922" w:type="pct"/>
            <w:tcBorders>
              <w:top w:val="single" w:color="000000" w:sz="4" w:space="0"/>
              <w:left w:val="single" w:color="000000" w:sz="4" w:space="0"/>
              <w:bottom w:val="single" w:color="000000" w:sz="4" w:space="0"/>
              <w:right w:val="single" w:color="000000" w:sz="4" w:space="0"/>
            </w:tcBorders>
            <w:vAlign w:val="bottom"/>
          </w:tcPr>
          <w:p w14:paraId="13D03958">
            <w:pPr>
              <w:spacing w:after="0"/>
              <w:ind w:left="271"/>
              <w:jc w:val="left"/>
              <w:rPr>
                <w:rFonts w:ascii="仿宋" w:hAnsi="仿宋" w:eastAsia="仿宋" w:cs="仿宋"/>
                <w:sz w:val="22"/>
                <w:szCs w:val="22"/>
              </w:rPr>
            </w:pPr>
            <w:r>
              <w:rPr>
                <w:rFonts w:hint="eastAsia" w:ascii="仿宋" w:hAnsi="仿宋" w:eastAsia="仿宋" w:cs="仿宋"/>
                <w:sz w:val="22"/>
                <w:szCs w:val="22"/>
              </w:rPr>
              <w:t>同步轮</w:t>
            </w:r>
          </w:p>
        </w:tc>
        <w:tc>
          <w:tcPr>
            <w:tcW w:w="2656" w:type="pct"/>
            <w:tcBorders>
              <w:top w:val="single" w:color="000000" w:sz="4" w:space="0"/>
              <w:left w:val="single" w:color="000000" w:sz="4" w:space="0"/>
              <w:bottom w:val="single" w:color="000000" w:sz="4" w:space="0"/>
              <w:right w:val="single" w:color="000000" w:sz="4" w:space="0"/>
            </w:tcBorders>
            <w:vAlign w:val="bottom"/>
          </w:tcPr>
          <w:p w14:paraId="0DB9E525">
            <w:pPr>
              <w:spacing w:after="0"/>
              <w:ind w:left="2"/>
              <w:jc w:val="center"/>
              <w:rPr>
                <w:rFonts w:ascii="仿宋" w:hAnsi="仿宋" w:eastAsia="仿宋" w:cs="仿宋"/>
                <w:sz w:val="22"/>
                <w:szCs w:val="22"/>
              </w:rPr>
            </w:pPr>
          </w:p>
        </w:tc>
        <w:tc>
          <w:tcPr>
            <w:tcW w:w="525" w:type="pct"/>
            <w:tcBorders>
              <w:top w:val="single" w:color="000000" w:sz="4" w:space="0"/>
              <w:left w:val="single" w:color="000000" w:sz="4" w:space="0"/>
              <w:bottom w:val="single" w:color="000000" w:sz="4" w:space="0"/>
              <w:right w:val="single" w:color="000000" w:sz="4" w:space="0"/>
            </w:tcBorders>
            <w:vAlign w:val="bottom"/>
          </w:tcPr>
          <w:p w14:paraId="6935FD8A">
            <w:pPr>
              <w:spacing w:after="0"/>
              <w:ind w:left="91"/>
              <w:jc w:val="both"/>
              <w:rPr>
                <w:rFonts w:ascii="仿宋" w:hAnsi="仿宋" w:eastAsia="仿宋" w:cs="仿宋"/>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64C7810D">
            <w:pPr>
              <w:spacing w:after="0"/>
              <w:ind w:left="142"/>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个</w:t>
            </w:r>
          </w:p>
        </w:tc>
      </w:tr>
      <w:tr w14:paraId="4CE3EF24">
        <w:tblPrEx>
          <w:tblCellMar>
            <w:top w:w="0" w:type="dxa"/>
            <w:left w:w="79" w:type="dxa"/>
            <w:bottom w:w="69" w:type="dxa"/>
            <w:right w:w="79" w:type="dxa"/>
          </w:tblCellMar>
        </w:tblPrEx>
        <w:trPr>
          <w:trHeight w:val="373"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10F56E2E">
            <w:pPr>
              <w:spacing w:after="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9</w:t>
            </w:r>
          </w:p>
        </w:tc>
        <w:tc>
          <w:tcPr>
            <w:tcW w:w="922" w:type="pct"/>
            <w:tcBorders>
              <w:top w:val="single" w:color="000000" w:sz="4" w:space="0"/>
              <w:left w:val="single" w:color="000000" w:sz="4" w:space="0"/>
              <w:bottom w:val="single" w:color="000000" w:sz="4" w:space="0"/>
              <w:right w:val="single" w:color="000000" w:sz="4" w:space="0"/>
            </w:tcBorders>
            <w:vAlign w:val="bottom"/>
          </w:tcPr>
          <w:p w14:paraId="596F17D1">
            <w:pPr>
              <w:spacing w:after="0"/>
              <w:ind w:firstLine="220" w:firstLineChars="100"/>
              <w:jc w:val="left"/>
              <w:rPr>
                <w:rFonts w:ascii="仿宋" w:hAnsi="仿宋" w:eastAsia="仿宋" w:cs="仿宋"/>
                <w:sz w:val="22"/>
                <w:szCs w:val="22"/>
              </w:rPr>
            </w:pPr>
            <w:r>
              <w:rPr>
                <w:rFonts w:hint="eastAsia" w:ascii="仿宋" w:hAnsi="仿宋" w:eastAsia="仿宋" w:cs="仿宋"/>
                <w:sz w:val="22"/>
                <w:szCs w:val="22"/>
              </w:rPr>
              <w:t>气管接头</w:t>
            </w:r>
          </w:p>
        </w:tc>
        <w:tc>
          <w:tcPr>
            <w:tcW w:w="2656" w:type="pct"/>
            <w:tcBorders>
              <w:top w:val="single" w:color="000000" w:sz="4" w:space="0"/>
              <w:left w:val="single" w:color="000000" w:sz="4" w:space="0"/>
              <w:bottom w:val="single" w:color="000000" w:sz="4" w:space="0"/>
              <w:right w:val="single" w:color="000000" w:sz="4" w:space="0"/>
            </w:tcBorders>
            <w:vAlign w:val="bottom"/>
          </w:tcPr>
          <w:p w14:paraId="6675221C">
            <w:pPr>
              <w:spacing w:after="0"/>
              <w:ind w:left="2"/>
              <w:jc w:val="center"/>
              <w:rPr>
                <w:rFonts w:ascii="仿宋" w:hAnsi="仿宋" w:eastAsia="仿宋" w:cs="仿宋"/>
                <w:sz w:val="22"/>
                <w:szCs w:val="22"/>
              </w:rPr>
            </w:pPr>
          </w:p>
        </w:tc>
        <w:tc>
          <w:tcPr>
            <w:tcW w:w="525" w:type="pct"/>
            <w:tcBorders>
              <w:top w:val="single" w:color="000000" w:sz="4" w:space="0"/>
              <w:left w:val="single" w:color="000000" w:sz="4" w:space="0"/>
              <w:bottom w:val="single" w:color="000000" w:sz="4" w:space="0"/>
              <w:right w:val="single" w:color="000000" w:sz="4" w:space="0"/>
            </w:tcBorders>
            <w:vAlign w:val="bottom"/>
          </w:tcPr>
          <w:p w14:paraId="233E244B">
            <w:pPr>
              <w:spacing w:after="0"/>
              <w:ind w:left="91"/>
              <w:jc w:val="both"/>
              <w:rPr>
                <w:rFonts w:ascii="仿宋" w:hAnsi="仿宋" w:eastAsia="仿宋" w:cs="仿宋"/>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7EA82258">
            <w:pPr>
              <w:spacing w:after="0"/>
              <w:ind w:left="142"/>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个</w:t>
            </w:r>
          </w:p>
        </w:tc>
      </w:tr>
    </w:tbl>
    <w:p w14:paraId="09ECEC3B">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八、选手自带工具</w:t>
      </w:r>
    </w:p>
    <w:tbl>
      <w:tblPr>
        <w:tblStyle w:val="12"/>
        <w:tblW w:w="4997" w:type="pct"/>
        <w:jc w:val="center"/>
        <w:tblLayout w:type="autofit"/>
        <w:tblCellMar>
          <w:top w:w="0" w:type="dxa"/>
          <w:left w:w="180" w:type="dxa"/>
          <w:bottom w:w="67" w:type="dxa"/>
          <w:right w:w="179" w:type="dxa"/>
        </w:tblCellMar>
      </w:tblPr>
      <w:tblGrid>
        <w:gridCol w:w="1182"/>
        <w:gridCol w:w="2074"/>
        <w:gridCol w:w="2369"/>
        <w:gridCol w:w="1036"/>
        <w:gridCol w:w="1036"/>
        <w:gridCol w:w="963"/>
      </w:tblGrid>
      <w:tr w14:paraId="43291450">
        <w:tblPrEx>
          <w:tblCellMar>
            <w:top w:w="0" w:type="dxa"/>
            <w:left w:w="180" w:type="dxa"/>
            <w:bottom w:w="67" w:type="dxa"/>
            <w:right w:w="179" w:type="dxa"/>
          </w:tblCellMar>
        </w:tblPrEx>
        <w:trPr>
          <w:trHeight w:val="379" w:hRule="atLeast"/>
          <w:jc w:val="center"/>
        </w:trPr>
        <w:tc>
          <w:tcPr>
            <w:tcW w:w="682" w:type="pct"/>
            <w:tcBorders>
              <w:top w:val="single" w:color="000000" w:sz="4" w:space="0"/>
              <w:left w:val="single" w:color="000000" w:sz="4" w:space="0"/>
              <w:bottom w:val="single" w:color="000000" w:sz="6" w:space="0"/>
              <w:right w:val="single" w:color="000000" w:sz="6" w:space="0"/>
            </w:tcBorders>
            <w:vAlign w:val="bottom"/>
          </w:tcPr>
          <w:p w14:paraId="544BC128">
            <w:pPr>
              <w:spacing w:after="0"/>
              <w:ind w:left="106"/>
              <w:rPr>
                <w:sz w:val="20"/>
                <w:szCs w:val="20"/>
              </w:rPr>
            </w:pPr>
            <w:r>
              <w:rPr>
                <w:rFonts w:ascii="仿宋" w:hAnsi="仿宋" w:eastAsia="仿宋" w:cs="仿宋"/>
                <w:sz w:val="22"/>
                <w:szCs w:val="20"/>
              </w:rPr>
              <w:t>序号</w:t>
            </w:r>
          </w:p>
        </w:tc>
        <w:tc>
          <w:tcPr>
            <w:tcW w:w="1197" w:type="pct"/>
            <w:tcBorders>
              <w:top w:val="single" w:color="000000" w:sz="4" w:space="0"/>
              <w:left w:val="single" w:color="000000" w:sz="6" w:space="0"/>
              <w:bottom w:val="single" w:color="000000" w:sz="6" w:space="0"/>
              <w:right w:val="single" w:color="000000" w:sz="6" w:space="0"/>
            </w:tcBorders>
            <w:vAlign w:val="bottom"/>
          </w:tcPr>
          <w:p w14:paraId="7752DDC7">
            <w:pPr>
              <w:spacing w:after="0"/>
              <w:jc w:val="center"/>
              <w:rPr>
                <w:sz w:val="20"/>
                <w:szCs w:val="20"/>
              </w:rPr>
            </w:pPr>
            <w:r>
              <w:rPr>
                <w:rFonts w:ascii="仿宋" w:hAnsi="仿宋" w:eastAsia="仿宋" w:cs="仿宋"/>
                <w:sz w:val="22"/>
                <w:szCs w:val="20"/>
              </w:rPr>
              <w:t>名称</w:t>
            </w:r>
          </w:p>
        </w:tc>
        <w:tc>
          <w:tcPr>
            <w:tcW w:w="1367" w:type="pct"/>
            <w:tcBorders>
              <w:top w:val="single" w:color="000000" w:sz="4" w:space="0"/>
              <w:left w:val="single" w:color="000000" w:sz="6" w:space="0"/>
              <w:bottom w:val="single" w:color="000000" w:sz="6" w:space="0"/>
              <w:right w:val="single" w:color="000000" w:sz="6" w:space="0"/>
            </w:tcBorders>
            <w:vAlign w:val="bottom"/>
          </w:tcPr>
          <w:p w14:paraId="6009DF12">
            <w:pPr>
              <w:spacing w:after="0"/>
              <w:ind w:left="323"/>
              <w:rPr>
                <w:sz w:val="20"/>
                <w:szCs w:val="20"/>
              </w:rPr>
            </w:pPr>
            <w:r>
              <w:rPr>
                <w:rFonts w:ascii="仿宋" w:hAnsi="仿宋" w:eastAsia="仿宋" w:cs="仿宋"/>
                <w:sz w:val="22"/>
                <w:szCs w:val="20"/>
              </w:rPr>
              <w:t>型号/规格</w:t>
            </w:r>
          </w:p>
        </w:tc>
        <w:tc>
          <w:tcPr>
            <w:tcW w:w="598" w:type="pct"/>
            <w:tcBorders>
              <w:top w:val="single" w:color="000000" w:sz="4" w:space="0"/>
              <w:left w:val="single" w:color="000000" w:sz="6" w:space="0"/>
              <w:bottom w:val="single" w:color="000000" w:sz="6" w:space="0"/>
              <w:right w:val="single" w:color="000000" w:sz="6" w:space="0"/>
            </w:tcBorders>
            <w:vAlign w:val="bottom"/>
          </w:tcPr>
          <w:p w14:paraId="4D9B8355">
            <w:pPr>
              <w:spacing w:after="0"/>
              <w:ind w:left="35"/>
              <w:jc w:val="both"/>
              <w:rPr>
                <w:rFonts w:hint="eastAsia" w:eastAsia="宋体"/>
                <w:sz w:val="20"/>
                <w:szCs w:val="20"/>
                <w:lang w:eastAsia="zh-CN"/>
              </w:rPr>
            </w:pPr>
            <w:r>
              <w:rPr>
                <w:rFonts w:hint="eastAsia" w:ascii="仿宋" w:hAnsi="仿宋" w:eastAsia="仿宋" w:cs="仿宋"/>
                <w:sz w:val="22"/>
                <w:szCs w:val="20"/>
                <w:lang w:val="en-US" w:eastAsia="zh-CN"/>
              </w:rPr>
              <w:t>数量</w:t>
            </w:r>
          </w:p>
        </w:tc>
        <w:tc>
          <w:tcPr>
            <w:tcW w:w="598" w:type="pct"/>
            <w:tcBorders>
              <w:top w:val="single" w:color="000000" w:sz="4" w:space="0"/>
              <w:left w:val="single" w:color="000000" w:sz="6" w:space="0"/>
              <w:bottom w:val="single" w:color="000000" w:sz="6" w:space="0"/>
              <w:right w:val="single" w:color="000000" w:sz="6" w:space="0"/>
            </w:tcBorders>
            <w:vAlign w:val="bottom"/>
          </w:tcPr>
          <w:p w14:paraId="15ADDFDC">
            <w:pPr>
              <w:spacing w:after="0"/>
              <w:ind w:left="37"/>
              <w:jc w:val="both"/>
              <w:rPr>
                <w:rFonts w:hint="eastAsia" w:eastAsia="宋体"/>
                <w:sz w:val="20"/>
                <w:szCs w:val="20"/>
                <w:lang w:eastAsia="zh-CN"/>
              </w:rPr>
            </w:pPr>
            <w:r>
              <w:rPr>
                <w:rFonts w:hint="eastAsia" w:ascii="仿宋" w:hAnsi="仿宋" w:eastAsia="仿宋" w:cs="仿宋"/>
                <w:sz w:val="22"/>
                <w:szCs w:val="20"/>
                <w:lang w:val="en-US" w:eastAsia="zh-CN"/>
              </w:rPr>
              <w:t>单位</w:t>
            </w:r>
          </w:p>
        </w:tc>
        <w:tc>
          <w:tcPr>
            <w:tcW w:w="555" w:type="pct"/>
            <w:tcBorders>
              <w:top w:val="single" w:color="000000" w:sz="4" w:space="0"/>
              <w:left w:val="single" w:color="000000" w:sz="6" w:space="0"/>
              <w:bottom w:val="single" w:color="000000" w:sz="6" w:space="0"/>
              <w:right w:val="single" w:color="000000" w:sz="4" w:space="0"/>
            </w:tcBorders>
            <w:vAlign w:val="bottom"/>
          </w:tcPr>
          <w:p w14:paraId="2EDA223C">
            <w:pPr>
              <w:spacing w:after="0"/>
              <w:jc w:val="both"/>
              <w:rPr>
                <w:sz w:val="20"/>
                <w:szCs w:val="20"/>
              </w:rPr>
            </w:pPr>
            <w:r>
              <w:rPr>
                <w:rFonts w:ascii="仿宋" w:hAnsi="仿宋" w:eastAsia="仿宋" w:cs="仿宋"/>
                <w:sz w:val="22"/>
                <w:szCs w:val="20"/>
              </w:rPr>
              <w:t>备注</w:t>
            </w:r>
          </w:p>
        </w:tc>
      </w:tr>
      <w:tr w14:paraId="243C1AA7">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F67AF33">
            <w:pPr>
              <w:spacing w:after="0"/>
              <w:ind w:left="1"/>
              <w:jc w:val="center"/>
              <w:rPr>
                <w:sz w:val="20"/>
                <w:szCs w:val="20"/>
              </w:rPr>
            </w:pPr>
            <w:r>
              <w:rPr>
                <w:rFonts w:ascii="仿宋" w:hAnsi="仿宋" w:eastAsia="仿宋" w:cs="仿宋"/>
                <w:sz w:val="22"/>
                <w:szCs w:val="20"/>
              </w:rPr>
              <w:t>1</w:t>
            </w:r>
          </w:p>
        </w:tc>
        <w:tc>
          <w:tcPr>
            <w:tcW w:w="1197" w:type="pct"/>
            <w:tcBorders>
              <w:top w:val="single" w:color="000000" w:sz="6" w:space="0"/>
              <w:left w:val="single" w:color="000000" w:sz="6" w:space="0"/>
              <w:bottom w:val="single" w:color="000000" w:sz="6" w:space="0"/>
              <w:right w:val="single" w:color="000000" w:sz="6" w:space="0"/>
            </w:tcBorders>
            <w:vAlign w:val="bottom"/>
          </w:tcPr>
          <w:p w14:paraId="55BA38CC">
            <w:pPr>
              <w:spacing w:after="0"/>
              <w:jc w:val="center"/>
              <w:rPr>
                <w:sz w:val="20"/>
                <w:szCs w:val="20"/>
              </w:rPr>
            </w:pPr>
            <w:r>
              <w:rPr>
                <w:rFonts w:ascii="仿宋" w:hAnsi="仿宋" w:eastAsia="仿宋" w:cs="仿宋"/>
                <w:sz w:val="22"/>
                <w:szCs w:val="20"/>
              </w:rPr>
              <w:t>内六角扳手</w:t>
            </w:r>
          </w:p>
        </w:tc>
        <w:tc>
          <w:tcPr>
            <w:tcW w:w="1367" w:type="pct"/>
            <w:tcBorders>
              <w:top w:val="single" w:color="000000" w:sz="6" w:space="0"/>
              <w:left w:val="single" w:color="000000" w:sz="6" w:space="0"/>
              <w:bottom w:val="single" w:color="000000" w:sz="6" w:space="0"/>
              <w:right w:val="single" w:color="000000" w:sz="6" w:space="0"/>
            </w:tcBorders>
            <w:vAlign w:val="bottom"/>
          </w:tcPr>
          <w:p w14:paraId="29B2E77C">
            <w:pPr>
              <w:spacing w:after="0"/>
              <w:jc w:val="center"/>
              <w:rPr>
                <w:sz w:val="20"/>
                <w:szCs w:val="20"/>
              </w:rPr>
            </w:pPr>
            <w:r>
              <w:rPr>
                <w:rFonts w:ascii="仿宋" w:hAnsi="仿宋" w:eastAsia="仿宋" w:cs="仿宋"/>
                <w:sz w:val="22"/>
                <w:szCs w:val="20"/>
              </w:rPr>
              <w:t>7件套</w:t>
            </w:r>
          </w:p>
        </w:tc>
        <w:tc>
          <w:tcPr>
            <w:tcW w:w="598" w:type="pct"/>
            <w:tcBorders>
              <w:top w:val="single" w:color="000000" w:sz="6" w:space="0"/>
              <w:left w:val="single" w:color="000000" w:sz="6" w:space="0"/>
              <w:bottom w:val="single" w:color="000000" w:sz="6" w:space="0"/>
              <w:right w:val="single" w:color="000000" w:sz="6" w:space="0"/>
            </w:tcBorders>
            <w:vAlign w:val="bottom"/>
          </w:tcPr>
          <w:p w14:paraId="02838EC5">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33EA35F5">
            <w:pPr>
              <w:spacing w:after="0"/>
              <w:ind w:left="176"/>
              <w:rPr>
                <w:sz w:val="20"/>
                <w:szCs w:val="20"/>
              </w:rPr>
            </w:pPr>
            <w:r>
              <w:rPr>
                <w:rFonts w:ascii="仿宋" w:hAnsi="仿宋" w:eastAsia="仿宋" w:cs="仿宋"/>
                <w:sz w:val="22"/>
                <w:szCs w:val="20"/>
              </w:rPr>
              <w:t>套</w:t>
            </w:r>
          </w:p>
        </w:tc>
        <w:tc>
          <w:tcPr>
            <w:tcW w:w="555" w:type="pct"/>
            <w:tcBorders>
              <w:top w:val="single" w:color="000000" w:sz="6" w:space="0"/>
              <w:left w:val="single" w:color="000000" w:sz="6" w:space="0"/>
              <w:bottom w:val="single" w:color="000000" w:sz="6" w:space="0"/>
              <w:right w:val="single" w:color="000000" w:sz="4" w:space="0"/>
            </w:tcBorders>
          </w:tcPr>
          <w:p w14:paraId="22CFAF80">
            <w:pPr>
              <w:rPr>
                <w:sz w:val="20"/>
                <w:szCs w:val="20"/>
              </w:rPr>
            </w:pPr>
          </w:p>
        </w:tc>
      </w:tr>
      <w:tr w14:paraId="1E97C139">
        <w:tblPrEx>
          <w:tblCellMar>
            <w:top w:w="0" w:type="dxa"/>
            <w:left w:w="180" w:type="dxa"/>
            <w:bottom w:w="67" w:type="dxa"/>
            <w:right w:w="179" w:type="dxa"/>
          </w:tblCellMar>
        </w:tblPrEx>
        <w:trPr>
          <w:trHeight w:val="382" w:hRule="atLeast"/>
          <w:jc w:val="center"/>
        </w:trPr>
        <w:tc>
          <w:tcPr>
            <w:tcW w:w="682" w:type="pct"/>
            <w:tcBorders>
              <w:top w:val="single" w:color="000000" w:sz="6" w:space="0"/>
              <w:left w:val="single" w:color="000000" w:sz="4" w:space="0"/>
              <w:bottom w:val="single" w:color="000000" w:sz="4" w:space="0"/>
              <w:right w:val="single" w:color="000000" w:sz="6" w:space="0"/>
            </w:tcBorders>
            <w:vAlign w:val="bottom"/>
          </w:tcPr>
          <w:p w14:paraId="76C602AE">
            <w:pPr>
              <w:spacing w:after="0"/>
              <w:ind w:left="1"/>
              <w:jc w:val="center"/>
              <w:rPr>
                <w:sz w:val="20"/>
                <w:szCs w:val="20"/>
              </w:rPr>
            </w:pPr>
            <w:r>
              <w:rPr>
                <w:rFonts w:ascii="仿宋" w:hAnsi="仿宋" w:eastAsia="仿宋" w:cs="仿宋"/>
                <w:sz w:val="22"/>
                <w:szCs w:val="20"/>
              </w:rPr>
              <w:t>2</w:t>
            </w:r>
          </w:p>
        </w:tc>
        <w:tc>
          <w:tcPr>
            <w:tcW w:w="1197" w:type="pct"/>
            <w:tcBorders>
              <w:top w:val="single" w:color="000000" w:sz="6" w:space="0"/>
              <w:left w:val="single" w:color="000000" w:sz="6" w:space="0"/>
              <w:bottom w:val="single" w:color="000000" w:sz="4" w:space="0"/>
              <w:right w:val="single" w:color="000000" w:sz="6" w:space="0"/>
            </w:tcBorders>
            <w:vAlign w:val="bottom"/>
          </w:tcPr>
          <w:p w14:paraId="2DEF89D1">
            <w:pPr>
              <w:spacing w:after="0"/>
              <w:jc w:val="center"/>
              <w:rPr>
                <w:sz w:val="20"/>
                <w:szCs w:val="20"/>
              </w:rPr>
            </w:pPr>
            <w:r>
              <w:rPr>
                <w:rFonts w:ascii="仿宋" w:hAnsi="仿宋" w:eastAsia="仿宋" w:cs="仿宋"/>
                <w:sz w:val="22"/>
                <w:szCs w:val="20"/>
              </w:rPr>
              <w:t>活动扳手</w:t>
            </w:r>
          </w:p>
        </w:tc>
        <w:tc>
          <w:tcPr>
            <w:tcW w:w="1367" w:type="pct"/>
            <w:tcBorders>
              <w:top w:val="single" w:color="000000" w:sz="6" w:space="0"/>
              <w:left w:val="single" w:color="000000" w:sz="6" w:space="0"/>
              <w:bottom w:val="single" w:color="000000" w:sz="4" w:space="0"/>
              <w:right w:val="single" w:color="000000" w:sz="6" w:space="0"/>
            </w:tcBorders>
            <w:vAlign w:val="bottom"/>
          </w:tcPr>
          <w:p w14:paraId="200C5175">
            <w:pPr>
              <w:spacing w:after="0"/>
              <w:jc w:val="center"/>
              <w:rPr>
                <w:sz w:val="20"/>
                <w:szCs w:val="20"/>
              </w:rPr>
            </w:pPr>
            <w:r>
              <w:rPr>
                <w:rFonts w:ascii="仿宋" w:hAnsi="仿宋" w:eastAsia="仿宋" w:cs="仿宋"/>
                <w:sz w:val="22"/>
                <w:szCs w:val="20"/>
              </w:rPr>
              <w:t>小号</w:t>
            </w:r>
          </w:p>
        </w:tc>
        <w:tc>
          <w:tcPr>
            <w:tcW w:w="598" w:type="pct"/>
            <w:tcBorders>
              <w:top w:val="single" w:color="000000" w:sz="6" w:space="0"/>
              <w:left w:val="single" w:color="000000" w:sz="6" w:space="0"/>
              <w:bottom w:val="single" w:color="000000" w:sz="4" w:space="0"/>
              <w:right w:val="single" w:color="000000" w:sz="6" w:space="0"/>
            </w:tcBorders>
            <w:vAlign w:val="bottom"/>
          </w:tcPr>
          <w:p w14:paraId="62FE06C1">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4" w:space="0"/>
              <w:right w:val="single" w:color="000000" w:sz="6" w:space="0"/>
            </w:tcBorders>
            <w:vAlign w:val="bottom"/>
          </w:tcPr>
          <w:p w14:paraId="1BDB253D">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4" w:space="0"/>
              <w:right w:val="single" w:color="000000" w:sz="4" w:space="0"/>
            </w:tcBorders>
          </w:tcPr>
          <w:p w14:paraId="539FD606">
            <w:pPr>
              <w:rPr>
                <w:sz w:val="20"/>
                <w:szCs w:val="20"/>
              </w:rPr>
            </w:pPr>
          </w:p>
        </w:tc>
      </w:tr>
      <w:tr w14:paraId="11C91FD1">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1EC856D">
            <w:pPr>
              <w:spacing w:after="0"/>
              <w:ind w:left="1"/>
              <w:jc w:val="center"/>
              <w:rPr>
                <w:sz w:val="20"/>
                <w:szCs w:val="20"/>
              </w:rPr>
            </w:pPr>
            <w:r>
              <w:rPr>
                <w:rFonts w:ascii="仿宋" w:hAnsi="仿宋" w:eastAsia="仿宋" w:cs="仿宋"/>
                <w:sz w:val="22"/>
                <w:szCs w:val="20"/>
              </w:rPr>
              <w:t>3</w:t>
            </w:r>
          </w:p>
        </w:tc>
        <w:tc>
          <w:tcPr>
            <w:tcW w:w="1197" w:type="pct"/>
            <w:tcBorders>
              <w:top w:val="single" w:color="000000" w:sz="6" w:space="0"/>
              <w:left w:val="single" w:color="000000" w:sz="6" w:space="0"/>
              <w:bottom w:val="single" w:color="000000" w:sz="6" w:space="0"/>
              <w:right w:val="single" w:color="000000" w:sz="6" w:space="0"/>
            </w:tcBorders>
            <w:vAlign w:val="bottom"/>
          </w:tcPr>
          <w:p w14:paraId="3CDA9E13">
            <w:pPr>
              <w:spacing w:after="0"/>
              <w:jc w:val="center"/>
              <w:rPr>
                <w:sz w:val="20"/>
                <w:szCs w:val="20"/>
              </w:rPr>
            </w:pPr>
            <w:r>
              <w:rPr>
                <w:rFonts w:ascii="仿宋" w:hAnsi="仿宋" w:eastAsia="仿宋" w:cs="仿宋"/>
                <w:sz w:val="22"/>
                <w:szCs w:val="20"/>
              </w:rPr>
              <w:t>尖嘴钳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7A4E303C">
            <w:pPr>
              <w:spacing w:after="0"/>
              <w:ind w:left="1"/>
              <w:jc w:val="center"/>
              <w:rPr>
                <w:sz w:val="20"/>
                <w:szCs w:val="20"/>
              </w:rPr>
            </w:pPr>
            <w:r>
              <w:rPr>
                <w:rFonts w:ascii="仿宋" w:hAnsi="仿宋" w:eastAsia="仿宋" w:cs="仿宋"/>
                <w:sz w:val="22"/>
                <w:szCs w:val="20"/>
              </w:rPr>
              <w:t>160mm</w:t>
            </w:r>
          </w:p>
        </w:tc>
        <w:tc>
          <w:tcPr>
            <w:tcW w:w="598" w:type="pct"/>
            <w:tcBorders>
              <w:top w:val="single" w:color="000000" w:sz="6" w:space="0"/>
              <w:left w:val="single" w:color="000000" w:sz="6" w:space="0"/>
              <w:bottom w:val="single" w:color="000000" w:sz="6" w:space="0"/>
              <w:right w:val="single" w:color="000000" w:sz="6" w:space="0"/>
            </w:tcBorders>
            <w:vAlign w:val="bottom"/>
          </w:tcPr>
          <w:p w14:paraId="05B076FD">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7CCD498">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5CA2AEE5">
            <w:pPr>
              <w:rPr>
                <w:sz w:val="20"/>
                <w:szCs w:val="20"/>
              </w:rPr>
            </w:pPr>
          </w:p>
        </w:tc>
      </w:tr>
      <w:tr w14:paraId="26C8E54D">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2F1C3629">
            <w:pPr>
              <w:spacing w:after="0"/>
              <w:ind w:left="1"/>
              <w:jc w:val="center"/>
              <w:rPr>
                <w:sz w:val="20"/>
                <w:szCs w:val="20"/>
              </w:rPr>
            </w:pPr>
            <w:r>
              <w:rPr>
                <w:rFonts w:ascii="仿宋" w:hAnsi="仿宋" w:eastAsia="仿宋" w:cs="仿宋"/>
                <w:sz w:val="22"/>
                <w:szCs w:val="20"/>
              </w:rPr>
              <w:t>4</w:t>
            </w:r>
          </w:p>
        </w:tc>
        <w:tc>
          <w:tcPr>
            <w:tcW w:w="1197" w:type="pct"/>
            <w:tcBorders>
              <w:top w:val="single" w:color="000000" w:sz="6" w:space="0"/>
              <w:left w:val="single" w:color="000000" w:sz="6" w:space="0"/>
              <w:bottom w:val="single" w:color="000000" w:sz="6" w:space="0"/>
              <w:right w:val="single" w:color="000000" w:sz="6" w:space="0"/>
            </w:tcBorders>
            <w:vAlign w:val="bottom"/>
          </w:tcPr>
          <w:p w14:paraId="014D74BD">
            <w:pPr>
              <w:spacing w:after="0"/>
              <w:jc w:val="center"/>
              <w:rPr>
                <w:sz w:val="20"/>
                <w:szCs w:val="20"/>
              </w:rPr>
            </w:pPr>
            <w:r>
              <w:rPr>
                <w:rFonts w:ascii="仿宋" w:hAnsi="仿宋" w:eastAsia="仿宋" w:cs="仿宋"/>
                <w:sz w:val="22"/>
                <w:szCs w:val="20"/>
              </w:rPr>
              <w:t>剥线钳</w:t>
            </w:r>
          </w:p>
        </w:tc>
        <w:tc>
          <w:tcPr>
            <w:tcW w:w="1367" w:type="pct"/>
            <w:tcBorders>
              <w:top w:val="single" w:color="000000" w:sz="6" w:space="0"/>
              <w:left w:val="single" w:color="000000" w:sz="6" w:space="0"/>
              <w:bottom w:val="single" w:color="000000" w:sz="6" w:space="0"/>
              <w:right w:val="single" w:color="000000" w:sz="6" w:space="0"/>
            </w:tcBorders>
          </w:tcPr>
          <w:p w14:paraId="7FB0DEE2">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245C9C6D">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DD9E966">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7C3E808F">
            <w:pPr>
              <w:rPr>
                <w:sz w:val="20"/>
                <w:szCs w:val="20"/>
              </w:rPr>
            </w:pPr>
          </w:p>
        </w:tc>
      </w:tr>
      <w:tr w14:paraId="0EE6FF33">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6060E524">
            <w:pPr>
              <w:spacing w:after="0"/>
              <w:ind w:left="1"/>
              <w:jc w:val="center"/>
              <w:rPr>
                <w:sz w:val="20"/>
                <w:szCs w:val="20"/>
              </w:rPr>
            </w:pPr>
            <w:r>
              <w:rPr>
                <w:rFonts w:ascii="仿宋" w:hAnsi="仿宋" w:eastAsia="仿宋" w:cs="仿宋"/>
                <w:sz w:val="22"/>
                <w:szCs w:val="20"/>
              </w:rPr>
              <w:t>5</w:t>
            </w:r>
          </w:p>
        </w:tc>
        <w:tc>
          <w:tcPr>
            <w:tcW w:w="1197" w:type="pct"/>
            <w:tcBorders>
              <w:top w:val="single" w:color="000000" w:sz="6" w:space="0"/>
              <w:left w:val="single" w:color="000000" w:sz="6" w:space="0"/>
              <w:bottom w:val="single" w:color="000000" w:sz="6" w:space="0"/>
              <w:right w:val="single" w:color="000000" w:sz="6" w:space="0"/>
            </w:tcBorders>
            <w:vAlign w:val="bottom"/>
          </w:tcPr>
          <w:p w14:paraId="7DBDDF68">
            <w:pPr>
              <w:spacing w:after="0"/>
              <w:jc w:val="center"/>
              <w:rPr>
                <w:sz w:val="20"/>
                <w:szCs w:val="20"/>
              </w:rPr>
            </w:pPr>
            <w:r>
              <w:rPr>
                <w:rFonts w:ascii="仿宋" w:hAnsi="仿宋" w:eastAsia="仿宋" w:cs="仿宋"/>
                <w:sz w:val="22"/>
                <w:szCs w:val="20"/>
              </w:rPr>
              <w:t>压线钳</w:t>
            </w:r>
          </w:p>
        </w:tc>
        <w:tc>
          <w:tcPr>
            <w:tcW w:w="1367" w:type="pct"/>
            <w:tcBorders>
              <w:top w:val="single" w:color="000000" w:sz="6" w:space="0"/>
              <w:left w:val="single" w:color="000000" w:sz="6" w:space="0"/>
              <w:bottom w:val="single" w:color="000000" w:sz="6" w:space="0"/>
              <w:right w:val="single" w:color="000000" w:sz="6" w:space="0"/>
            </w:tcBorders>
          </w:tcPr>
          <w:p w14:paraId="2CE75710">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61F0C273">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23733BD6">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49BA724E">
            <w:pPr>
              <w:rPr>
                <w:sz w:val="20"/>
                <w:szCs w:val="20"/>
              </w:rPr>
            </w:pPr>
          </w:p>
        </w:tc>
      </w:tr>
      <w:tr w14:paraId="2486EF96">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538413DE">
            <w:pPr>
              <w:spacing w:after="0"/>
              <w:ind w:left="1"/>
              <w:jc w:val="center"/>
              <w:rPr>
                <w:sz w:val="20"/>
                <w:szCs w:val="20"/>
              </w:rPr>
            </w:pPr>
            <w:r>
              <w:rPr>
                <w:rFonts w:ascii="仿宋" w:hAnsi="仿宋" w:eastAsia="仿宋" w:cs="仿宋"/>
                <w:sz w:val="22"/>
                <w:szCs w:val="20"/>
              </w:rPr>
              <w:t>6</w:t>
            </w:r>
          </w:p>
        </w:tc>
        <w:tc>
          <w:tcPr>
            <w:tcW w:w="1197" w:type="pct"/>
            <w:tcBorders>
              <w:top w:val="single" w:color="000000" w:sz="6" w:space="0"/>
              <w:left w:val="single" w:color="000000" w:sz="6" w:space="0"/>
              <w:bottom w:val="single" w:color="000000" w:sz="6" w:space="0"/>
              <w:right w:val="single" w:color="000000" w:sz="6" w:space="0"/>
            </w:tcBorders>
            <w:vAlign w:val="bottom"/>
          </w:tcPr>
          <w:p w14:paraId="34327131">
            <w:pPr>
              <w:spacing w:after="0"/>
              <w:jc w:val="center"/>
              <w:rPr>
                <w:sz w:val="20"/>
                <w:szCs w:val="20"/>
              </w:rPr>
            </w:pPr>
            <w:r>
              <w:rPr>
                <w:rFonts w:ascii="仿宋" w:hAnsi="仿宋" w:eastAsia="仿宋" w:cs="仿宋"/>
                <w:sz w:val="22"/>
                <w:szCs w:val="20"/>
              </w:rPr>
              <w:t>斜口钳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591BE095">
            <w:pPr>
              <w:spacing w:after="0"/>
              <w:ind w:left="1"/>
              <w:jc w:val="center"/>
              <w:rPr>
                <w:sz w:val="20"/>
                <w:szCs w:val="20"/>
              </w:rPr>
            </w:pPr>
            <w:r>
              <w:rPr>
                <w:rFonts w:ascii="仿宋" w:hAnsi="仿宋" w:eastAsia="仿宋" w:cs="仿宋"/>
                <w:sz w:val="22"/>
                <w:szCs w:val="20"/>
              </w:rPr>
              <w:t>160mm</w:t>
            </w:r>
          </w:p>
        </w:tc>
        <w:tc>
          <w:tcPr>
            <w:tcW w:w="598" w:type="pct"/>
            <w:tcBorders>
              <w:top w:val="single" w:color="000000" w:sz="6" w:space="0"/>
              <w:left w:val="single" w:color="000000" w:sz="6" w:space="0"/>
              <w:bottom w:val="single" w:color="000000" w:sz="6" w:space="0"/>
              <w:right w:val="single" w:color="000000" w:sz="6" w:space="0"/>
            </w:tcBorders>
            <w:vAlign w:val="bottom"/>
          </w:tcPr>
          <w:p w14:paraId="7D7FB1D8">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5E541E73">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59FF831F">
            <w:pPr>
              <w:rPr>
                <w:sz w:val="20"/>
                <w:szCs w:val="20"/>
              </w:rPr>
            </w:pPr>
          </w:p>
        </w:tc>
      </w:tr>
      <w:tr w14:paraId="059BE935">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46EB5FA3">
            <w:pPr>
              <w:spacing w:after="0"/>
              <w:ind w:left="1"/>
              <w:jc w:val="center"/>
              <w:rPr>
                <w:sz w:val="20"/>
                <w:szCs w:val="20"/>
              </w:rPr>
            </w:pPr>
            <w:r>
              <w:rPr>
                <w:rFonts w:ascii="仿宋" w:hAnsi="仿宋" w:eastAsia="仿宋" w:cs="仿宋"/>
                <w:sz w:val="22"/>
                <w:szCs w:val="20"/>
              </w:rPr>
              <w:t>7</w:t>
            </w:r>
          </w:p>
        </w:tc>
        <w:tc>
          <w:tcPr>
            <w:tcW w:w="1197" w:type="pct"/>
            <w:tcBorders>
              <w:top w:val="single" w:color="000000" w:sz="6" w:space="0"/>
              <w:left w:val="single" w:color="000000" w:sz="6" w:space="0"/>
              <w:bottom w:val="single" w:color="000000" w:sz="6" w:space="0"/>
              <w:right w:val="single" w:color="000000" w:sz="6" w:space="0"/>
            </w:tcBorders>
            <w:vAlign w:val="bottom"/>
          </w:tcPr>
          <w:p w14:paraId="7FBF24D6">
            <w:pPr>
              <w:spacing w:after="0"/>
              <w:jc w:val="center"/>
              <w:rPr>
                <w:sz w:val="20"/>
                <w:szCs w:val="20"/>
              </w:rPr>
            </w:pPr>
            <w:r>
              <w:rPr>
                <w:rFonts w:ascii="仿宋" w:hAnsi="仿宋" w:eastAsia="仿宋" w:cs="仿宋"/>
                <w:sz w:val="22"/>
                <w:szCs w:val="20"/>
              </w:rPr>
              <w:t>十字螺丝刀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3BDFA606">
            <w:pPr>
              <w:spacing w:after="0"/>
              <w:ind w:left="1"/>
              <w:jc w:val="center"/>
              <w:rPr>
                <w:sz w:val="20"/>
                <w:szCs w:val="20"/>
              </w:rPr>
            </w:pPr>
            <w:r>
              <w:rPr>
                <w:rFonts w:ascii="仿宋" w:hAnsi="仿宋" w:eastAsia="仿宋" w:cs="仿宋"/>
                <w:sz w:val="22"/>
                <w:szCs w:val="20"/>
              </w:rPr>
              <w:t>5×75mm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25B397C2">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7671C50">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042F5262">
            <w:pPr>
              <w:rPr>
                <w:sz w:val="20"/>
                <w:szCs w:val="20"/>
              </w:rPr>
            </w:pPr>
          </w:p>
        </w:tc>
      </w:tr>
      <w:tr w14:paraId="759AD547">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FF22DE5">
            <w:pPr>
              <w:spacing w:after="0"/>
              <w:ind w:left="1"/>
              <w:jc w:val="center"/>
              <w:rPr>
                <w:sz w:val="20"/>
                <w:szCs w:val="20"/>
              </w:rPr>
            </w:pPr>
            <w:r>
              <w:rPr>
                <w:rFonts w:ascii="仿宋" w:hAnsi="仿宋" w:eastAsia="仿宋" w:cs="仿宋"/>
                <w:sz w:val="22"/>
                <w:szCs w:val="20"/>
              </w:rPr>
              <w:t>8</w:t>
            </w:r>
          </w:p>
        </w:tc>
        <w:tc>
          <w:tcPr>
            <w:tcW w:w="1197" w:type="pct"/>
            <w:tcBorders>
              <w:top w:val="single" w:color="000000" w:sz="6" w:space="0"/>
              <w:left w:val="single" w:color="000000" w:sz="6" w:space="0"/>
              <w:bottom w:val="single" w:color="000000" w:sz="6" w:space="0"/>
              <w:right w:val="single" w:color="000000" w:sz="6" w:space="0"/>
            </w:tcBorders>
            <w:vAlign w:val="bottom"/>
          </w:tcPr>
          <w:p w14:paraId="4931C01C">
            <w:pPr>
              <w:spacing w:after="0"/>
              <w:jc w:val="center"/>
              <w:rPr>
                <w:sz w:val="20"/>
                <w:szCs w:val="20"/>
              </w:rPr>
            </w:pPr>
            <w:r>
              <w:rPr>
                <w:rFonts w:ascii="仿宋" w:hAnsi="仿宋" w:eastAsia="仿宋" w:cs="仿宋"/>
                <w:sz w:val="22"/>
                <w:szCs w:val="20"/>
              </w:rPr>
              <w:t>一字螺丝刀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54DD1A2F">
            <w:pPr>
              <w:spacing w:after="0"/>
              <w:ind w:left="1"/>
              <w:jc w:val="center"/>
              <w:rPr>
                <w:sz w:val="20"/>
                <w:szCs w:val="20"/>
              </w:rPr>
            </w:pPr>
            <w:r>
              <w:rPr>
                <w:rFonts w:ascii="仿宋" w:hAnsi="仿宋" w:eastAsia="仿宋" w:cs="仿宋"/>
                <w:sz w:val="22"/>
                <w:szCs w:val="20"/>
              </w:rPr>
              <w:t>5×75mm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730507B0">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D536C0D">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5CB1931C">
            <w:pPr>
              <w:rPr>
                <w:sz w:val="20"/>
                <w:szCs w:val="20"/>
              </w:rPr>
            </w:pPr>
          </w:p>
        </w:tc>
      </w:tr>
      <w:tr w14:paraId="49C386A5">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45B3B595">
            <w:pPr>
              <w:spacing w:after="0"/>
              <w:ind w:left="1"/>
              <w:jc w:val="center"/>
              <w:rPr>
                <w:sz w:val="20"/>
                <w:szCs w:val="20"/>
              </w:rPr>
            </w:pPr>
            <w:r>
              <w:rPr>
                <w:rFonts w:ascii="仿宋" w:hAnsi="仿宋" w:eastAsia="仿宋" w:cs="仿宋"/>
                <w:sz w:val="22"/>
                <w:szCs w:val="20"/>
              </w:rPr>
              <w:t>9</w:t>
            </w:r>
          </w:p>
        </w:tc>
        <w:tc>
          <w:tcPr>
            <w:tcW w:w="1197" w:type="pct"/>
            <w:tcBorders>
              <w:top w:val="single" w:color="000000" w:sz="6" w:space="0"/>
              <w:left w:val="single" w:color="000000" w:sz="6" w:space="0"/>
              <w:bottom w:val="single" w:color="000000" w:sz="6" w:space="0"/>
              <w:right w:val="single" w:color="000000" w:sz="6" w:space="0"/>
            </w:tcBorders>
            <w:vAlign w:val="bottom"/>
          </w:tcPr>
          <w:p w14:paraId="76E94D08">
            <w:pPr>
              <w:spacing w:after="0"/>
              <w:jc w:val="center"/>
              <w:rPr>
                <w:sz w:val="20"/>
                <w:szCs w:val="20"/>
              </w:rPr>
            </w:pPr>
            <w:r>
              <w:rPr>
                <w:rFonts w:ascii="仿宋" w:hAnsi="仿宋" w:eastAsia="仿宋" w:cs="仿宋"/>
                <w:sz w:val="22"/>
                <w:szCs w:val="20"/>
              </w:rPr>
              <w:t>十字螺丝刀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033FCACD">
            <w:pPr>
              <w:spacing w:after="0"/>
              <w:ind w:left="1"/>
              <w:jc w:val="center"/>
              <w:rPr>
                <w:sz w:val="20"/>
                <w:szCs w:val="20"/>
              </w:rPr>
            </w:pPr>
            <w:r>
              <w:rPr>
                <w:rFonts w:ascii="仿宋" w:hAnsi="仿宋" w:eastAsia="仿宋" w:cs="仿宋"/>
                <w:sz w:val="22"/>
                <w:szCs w:val="20"/>
              </w:rPr>
              <w:t>3×75mm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32A3D05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6FA3A325">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21AA964D">
            <w:pPr>
              <w:rPr>
                <w:sz w:val="20"/>
                <w:szCs w:val="20"/>
              </w:rPr>
            </w:pPr>
          </w:p>
        </w:tc>
      </w:tr>
      <w:tr w14:paraId="44B67CBB">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6DD52F7">
            <w:pPr>
              <w:spacing w:after="0"/>
              <w:ind w:left="1"/>
              <w:jc w:val="center"/>
              <w:rPr>
                <w:sz w:val="20"/>
                <w:szCs w:val="20"/>
              </w:rPr>
            </w:pPr>
            <w:r>
              <w:rPr>
                <w:rFonts w:ascii="仿宋" w:hAnsi="仿宋" w:eastAsia="仿宋" w:cs="仿宋"/>
                <w:sz w:val="22"/>
                <w:szCs w:val="20"/>
              </w:rPr>
              <w:t>10</w:t>
            </w:r>
          </w:p>
        </w:tc>
        <w:tc>
          <w:tcPr>
            <w:tcW w:w="1197" w:type="pct"/>
            <w:tcBorders>
              <w:top w:val="single" w:color="000000" w:sz="6" w:space="0"/>
              <w:left w:val="single" w:color="000000" w:sz="6" w:space="0"/>
              <w:bottom w:val="single" w:color="000000" w:sz="6" w:space="0"/>
              <w:right w:val="single" w:color="000000" w:sz="6" w:space="0"/>
            </w:tcBorders>
            <w:vAlign w:val="bottom"/>
          </w:tcPr>
          <w:p w14:paraId="054C0162">
            <w:pPr>
              <w:spacing w:after="0"/>
              <w:jc w:val="center"/>
              <w:rPr>
                <w:sz w:val="20"/>
                <w:szCs w:val="20"/>
              </w:rPr>
            </w:pPr>
            <w:r>
              <w:rPr>
                <w:rFonts w:ascii="仿宋" w:hAnsi="仿宋" w:eastAsia="仿宋" w:cs="仿宋"/>
                <w:sz w:val="22"/>
                <w:szCs w:val="20"/>
              </w:rPr>
              <w:t>一字螺丝刀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7B94785A">
            <w:pPr>
              <w:spacing w:after="0"/>
              <w:ind w:left="1"/>
              <w:jc w:val="center"/>
              <w:rPr>
                <w:sz w:val="20"/>
                <w:szCs w:val="20"/>
              </w:rPr>
            </w:pPr>
            <w:r>
              <w:rPr>
                <w:rFonts w:ascii="仿宋" w:hAnsi="仿宋" w:eastAsia="仿宋" w:cs="仿宋"/>
                <w:sz w:val="22"/>
                <w:szCs w:val="20"/>
              </w:rPr>
              <w:t>3×75mm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5EDB0C4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624F1558">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3CA2C433">
            <w:pPr>
              <w:rPr>
                <w:sz w:val="20"/>
                <w:szCs w:val="20"/>
              </w:rPr>
            </w:pPr>
          </w:p>
        </w:tc>
      </w:tr>
      <w:tr w14:paraId="7FC68CF8">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6977678C">
            <w:pPr>
              <w:spacing w:after="0"/>
              <w:ind w:left="1"/>
              <w:jc w:val="center"/>
              <w:rPr>
                <w:sz w:val="20"/>
                <w:szCs w:val="20"/>
              </w:rPr>
            </w:pPr>
            <w:r>
              <w:rPr>
                <w:rFonts w:ascii="仿宋" w:hAnsi="仿宋" w:eastAsia="仿宋" w:cs="仿宋"/>
                <w:sz w:val="22"/>
                <w:szCs w:val="20"/>
              </w:rPr>
              <w:t>11</w:t>
            </w:r>
          </w:p>
        </w:tc>
        <w:tc>
          <w:tcPr>
            <w:tcW w:w="1197" w:type="pct"/>
            <w:tcBorders>
              <w:top w:val="single" w:color="000000" w:sz="6" w:space="0"/>
              <w:left w:val="single" w:color="000000" w:sz="6" w:space="0"/>
              <w:bottom w:val="single" w:color="000000" w:sz="6" w:space="0"/>
              <w:right w:val="single" w:color="000000" w:sz="6" w:space="0"/>
            </w:tcBorders>
            <w:vAlign w:val="bottom"/>
          </w:tcPr>
          <w:p w14:paraId="27562887">
            <w:pPr>
              <w:spacing w:after="0"/>
              <w:jc w:val="center"/>
              <w:rPr>
                <w:rFonts w:hint="eastAsia" w:eastAsia="宋体"/>
                <w:sz w:val="20"/>
                <w:szCs w:val="20"/>
                <w:lang w:eastAsia="zh-CN"/>
              </w:rPr>
            </w:pPr>
            <w:r>
              <w:rPr>
                <w:rFonts w:hint="eastAsia" w:ascii="仿宋" w:hAnsi="仿宋" w:eastAsia="仿宋" w:cs="仿宋"/>
                <w:sz w:val="22"/>
                <w:szCs w:val="20"/>
                <w:lang w:val="en-US" w:eastAsia="zh-CN"/>
              </w:rPr>
              <w:t>卷尺</w:t>
            </w:r>
          </w:p>
        </w:tc>
        <w:tc>
          <w:tcPr>
            <w:tcW w:w="1367" w:type="pct"/>
            <w:tcBorders>
              <w:top w:val="single" w:color="000000" w:sz="6" w:space="0"/>
              <w:left w:val="single" w:color="000000" w:sz="6" w:space="0"/>
              <w:bottom w:val="single" w:color="000000" w:sz="6" w:space="0"/>
              <w:right w:val="single" w:color="000000" w:sz="6" w:space="0"/>
            </w:tcBorders>
          </w:tcPr>
          <w:p w14:paraId="707211BF">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36B9B44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70151836">
            <w:pPr>
              <w:spacing w:after="0"/>
              <w:ind w:left="176"/>
              <w:rPr>
                <w:rFonts w:hint="eastAsia" w:eastAsia="宋体"/>
                <w:sz w:val="20"/>
                <w:szCs w:val="20"/>
                <w:lang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31F42D09">
            <w:pPr>
              <w:rPr>
                <w:sz w:val="20"/>
                <w:szCs w:val="20"/>
              </w:rPr>
            </w:pPr>
          </w:p>
        </w:tc>
      </w:tr>
      <w:tr w14:paraId="5044306F">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891DF7F">
            <w:pPr>
              <w:spacing w:after="0"/>
              <w:ind w:left="1"/>
              <w:jc w:val="center"/>
              <w:rPr>
                <w:sz w:val="20"/>
                <w:szCs w:val="20"/>
              </w:rPr>
            </w:pPr>
            <w:r>
              <w:rPr>
                <w:rFonts w:ascii="仿宋" w:hAnsi="仿宋" w:eastAsia="仿宋" w:cs="仿宋"/>
                <w:sz w:val="22"/>
                <w:szCs w:val="20"/>
              </w:rPr>
              <w:t>12</w:t>
            </w:r>
          </w:p>
        </w:tc>
        <w:tc>
          <w:tcPr>
            <w:tcW w:w="1197" w:type="pct"/>
            <w:tcBorders>
              <w:top w:val="single" w:color="000000" w:sz="6" w:space="0"/>
              <w:left w:val="single" w:color="000000" w:sz="6" w:space="0"/>
              <w:bottom w:val="single" w:color="000000" w:sz="6" w:space="0"/>
              <w:right w:val="single" w:color="000000" w:sz="6" w:space="0"/>
            </w:tcBorders>
            <w:vAlign w:val="bottom"/>
          </w:tcPr>
          <w:p w14:paraId="59D11275">
            <w:pPr>
              <w:spacing w:after="0"/>
              <w:jc w:val="center"/>
              <w:rPr>
                <w:rFonts w:hint="default" w:eastAsia="宋体"/>
                <w:sz w:val="20"/>
                <w:szCs w:val="20"/>
                <w:lang w:val="en-US" w:eastAsia="zh-CN"/>
              </w:rPr>
            </w:pPr>
            <w:r>
              <w:rPr>
                <w:rFonts w:hint="eastAsia" w:ascii="仿宋" w:hAnsi="仿宋" w:eastAsia="仿宋" w:cs="仿宋"/>
                <w:sz w:val="22"/>
                <w:szCs w:val="20"/>
                <w:lang w:val="en-US" w:eastAsia="zh-CN"/>
              </w:rPr>
              <w:t>管型压线钳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4C76A1A8">
            <w:pPr>
              <w:spacing w:after="0"/>
              <w:jc w:val="cente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07A152FA">
            <w:pPr>
              <w:spacing w:after="0"/>
              <w:ind w:left="1"/>
              <w:jc w:val="center"/>
              <w:rPr>
                <w:rFonts w:hint="eastAsia" w:eastAsia="宋体"/>
                <w:sz w:val="20"/>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F6558BC">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50C6089B">
            <w:pPr>
              <w:rPr>
                <w:sz w:val="20"/>
                <w:szCs w:val="20"/>
              </w:rPr>
            </w:pPr>
          </w:p>
        </w:tc>
      </w:tr>
      <w:tr w14:paraId="405C357E">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CDF4A3F">
            <w:pPr>
              <w:spacing w:after="0"/>
              <w:ind w:left="1" w:leftChars="0"/>
              <w:jc w:val="center"/>
              <w:rPr>
                <w:rFonts w:hint="default"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13</w:t>
            </w:r>
          </w:p>
        </w:tc>
        <w:tc>
          <w:tcPr>
            <w:tcW w:w="1197" w:type="pct"/>
            <w:tcBorders>
              <w:top w:val="single" w:color="000000" w:sz="6" w:space="0"/>
              <w:left w:val="single" w:color="000000" w:sz="6" w:space="0"/>
              <w:bottom w:val="single" w:color="000000" w:sz="6" w:space="0"/>
              <w:right w:val="single" w:color="000000" w:sz="6" w:space="0"/>
            </w:tcBorders>
            <w:vAlign w:val="bottom"/>
          </w:tcPr>
          <w:p w14:paraId="64CFDD37">
            <w:pPr>
              <w:spacing w:after="0"/>
              <w:jc w:val="center"/>
              <w:rPr>
                <w:rFonts w:hint="default" w:eastAsia="宋体"/>
                <w:sz w:val="20"/>
                <w:szCs w:val="20"/>
                <w:lang w:val="en-US" w:eastAsia="zh-CN"/>
              </w:rPr>
            </w:pPr>
            <w:r>
              <w:rPr>
                <w:rFonts w:hint="eastAsia" w:ascii="仿宋" w:hAnsi="仿宋" w:eastAsia="仿宋" w:cs="仿宋"/>
                <w:sz w:val="22"/>
                <w:szCs w:val="20"/>
                <w:lang w:val="en-US" w:eastAsia="zh-CN"/>
              </w:rPr>
              <w:t>插簧压线钳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120F85CA">
            <w:pPr>
              <w:spacing w:after="0"/>
              <w:jc w:val="cente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2227DC6D">
            <w:pPr>
              <w:spacing w:after="0"/>
              <w:ind w:left="1"/>
              <w:jc w:val="center"/>
              <w:rPr>
                <w:rFonts w:hint="eastAsia" w:eastAsia="宋体"/>
                <w:sz w:val="20"/>
                <w:szCs w:val="20"/>
                <w:lang w:val="en-US" w:eastAsia="zh-CN"/>
              </w:rPr>
            </w:pPr>
            <w:r>
              <w:rPr>
                <w:rFonts w:hint="eastAsia" w:eastAsia="宋体"/>
                <w:sz w:val="20"/>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5956EEE2">
            <w:pPr>
              <w:spacing w:after="0"/>
              <w:ind w:left="176"/>
              <w:rPr>
                <w:rFonts w:hint="eastAsia" w:eastAsia="宋体"/>
                <w:sz w:val="20"/>
                <w:szCs w:val="20"/>
                <w:lang w:val="en-US" w:eastAsia="zh-CN"/>
              </w:rPr>
            </w:pPr>
            <w:r>
              <w:rPr>
                <w:rFonts w:hint="eastAsia" w:eastAsia="宋体"/>
                <w:sz w:val="20"/>
                <w:szCs w:val="20"/>
                <w:lang w:val="en-US" w:eastAsia="zh-CN"/>
              </w:rPr>
              <w:t>把</w:t>
            </w:r>
          </w:p>
        </w:tc>
        <w:tc>
          <w:tcPr>
            <w:tcW w:w="555" w:type="pct"/>
            <w:tcBorders>
              <w:top w:val="single" w:color="000000" w:sz="6" w:space="0"/>
              <w:left w:val="single" w:color="000000" w:sz="6" w:space="0"/>
              <w:bottom w:val="single" w:color="000000" w:sz="6" w:space="0"/>
              <w:right w:val="single" w:color="000000" w:sz="4" w:space="0"/>
            </w:tcBorders>
          </w:tcPr>
          <w:p w14:paraId="35C7AC4F">
            <w:pPr>
              <w:rPr>
                <w:sz w:val="20"/>
                <w:szCs w:val="20"/>
              </w:rPr>
            </w:pPr>
          </w:p>
        </w:tc>
      </w:tr>
      <w:tr w14:paraId="60B68534">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3D7B3ACF">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14</w:t>
            </w:r>
          </w:p>
        </w:tc>
        <w:tc>
          <w:tcPr>
            <w:tcW w:w="1197" w:type="pct"/>
            <w:tcBorders>
              <w:top w:val="single" w:color="000000" w:sz="6" w:space="0"/>
              <w:left w:val="single" w:color="000000" w:sz="6" w:space="0"/>
              <w:bottom w:val="single" w:color="000000" w:sz="6" w:space="0"/>
              <w:right w:val="single" w:color="000000" w:sz="6" w:space="0"/>
            </w:tcBorders>
            <w:vAlign w:val="bottom"/>
          </w:tcPr>
          <w:p w14:paraId="6AAC99D0">
            <w:pPr>
              <w:spacing w:after="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剪刀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66572069">
            <w:pPr>
              <w:spacing w:after="0"/>
              <w:jc w:val="cente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3175AA79">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618C5168">
            <w:pPr>
              <w:spacing w:after="0"/>
              <w:ind w:left="176" w:leftChars="0"/>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036A15CC">
            <w:pPr>
              <w:rPr>
                <w:sz w:val="20"/>
                <w:szCs w:val="20"/>
              </w:rPr>
            </w:pPr>
          </w:p>
        </w:tc>
      </w:tr>
      <w:tr w14:paraId="1D0E8AF6">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74E3031">
            <w:pPr>
              <w:spacing w:after="0"/>
              <w:ind w:left="1" w:leftChars="0"/>
              <w:jc w:val="center"/>
              <w:rPr>
                <w:rFonts w:hint="eastAsia" w:ascii="Calibri" w:hAnsi="Calibri" w:eastAsia="仿宋" w:cs="Calibri"/>
                <w:color w:val="000000"/>
                <w:kern w:val="2"/>
                <w:sz w:val="20"/>
                <w:szCs w:val="20"/>
                <w:lang w:val="en-US" w:eastAsia="zh-CN" w:bidi="ar-SA"/>
                <w14:ligatures w14:val="standardContextual"/>
              </w:rPr>
            </w:pPr>
            <w:r>
              <w:rPr>
                <w:rFonts w:ascii="仿宋" w:hAnsi="仿宋" w:eastAsia="仿宋" w:cs="仿宋"/>
                <w:sz w:val="22"/>
                <w:szCs w:val="20"/>
              </w:rPr>
              <w:t>1</w:t>
            </w:r>
            <w:r>
              <w:rPr>
                <w:rFonts w:hint="eastAsia" w:ascii="仿宋" w:hAnsi="仿宋" w:eastAsia="仿宋" w:cs="仿宋"/>
                <w:sz w:val="22"/>
                <w:szCs w:val="20"/>
                <w:lang w:val="en-US" w:eastAsia="zh-CN"/>
              </w:rPr>
              <w:t>5</w:t>
            </w:r>
          </w:p>
        </w:tc>
        <w:tc>
          <w:tcPr>
            <w:tcW w:w="1197" w:type="pct"/>
            <w:tcBorders>
              <w:top w:val="single" w:color="000000" w:sz="6" w:space="0"/>
              <w:left w:val="single" w:color="000000" w:sz="6" w:space="0"/>
              <w:bottom w:val="single" w:color="000000" w:sz="6" w:space="0"/>
              <w:right w:val="single" w:color="000000" w:sz="6" w:space="0"/>
            </w:tcBorders>
            <w:vAlign w:val="bottom"/>
          </w:tcPr>
          <w:p w14:paraId="03C08022">
            <w:pPr>
              <w:spacing w:after="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万用表</w:t>
            </w:r>
          </w:p>
        </w:tc>
        <w:tc>
          <w:tcPr>
            <w:tcW w:w="1367" w:type="pct"/>
            <w:tcBorders>
              <w:top w:val="single" w:color="000000" w:sz="6" w:space="0"/>
              <w:left w:val="single" w:color="000000" w:sz="6" w:space="0"/>
              <w:bottom w:val="single" w:color="000000" w:sz="6" w:space="0"/>
              <w:right w:val="single" w:color="000000" w:sz="6" w:space="0"/>
            </w:tcBorders>
            <w:vAlign w:val="top"/>
          </w:tcPr>
          <w:p w14:paraId="780DC9C2">
            <w:pP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66261872">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DB86C32">
            <w:pPr>
              <w:spacing w:after="0"/>
              <w:ind w:left="176" w:leftChars="0"/>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个</w:t>
            </w:r>
          </w:p>
        </w:tc>
        <w:tc>
          <w:tcPr>
            <w:tcW w:w="555" w:type="pct"/>
            <w:tcBorders>
              <w:top w:val="single" w:color="000000" w:sz="6" w:space="0"/>
              <w:left w:val="single" w:color="000000" w:sz="6" w:space="0"/>
              <w:bottom w:val="single" w:color="000000" w:sz="6" w:space="0"/>
              <w:right w:val="single" w:color="000000" w:sz="4" w:space="0"/>
            </w:tcBorders>
          </w:tcPr>
          <w:p w14:paraId="7280C457">
            <w:pPr>
              <w:rPr>
                <w:sz w:val="20"/>
                <w:szCs w:val="20"/>
              </w:rPr>
            </w:pPr>
          </w:p>
        </w:tc>
      </w:tr>
      <w:tr w14:paraId="4E06EE54">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07838426">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16</w:t>
            </w:r>
          </w:p>
        </w:tc>
        <w:tc>
          <w:tcPr>
            <w:tcW w:w="1197" w:type="pct"/>
            <w:tcBorders>
              <w:top w:val="single" w:color="000000" w:sz="6" w:space="0"/>
              <w:left w:val="single" w:color="000000" w:sz="6" w:space="0"/>
              <w:bottom w:val="single" w:color="000000" w:sz="6" w:space="0"/>
              <w:right w:val="single" w:color="000000" w:sz="6" w:space="0"/>
            </w:tcBorders>
            <w:vAlign w:val="bottom"/>
          </w:tcPr>
          <w:p w14:paraId="61C308DD">
            <w:pPr>
              <w:spacing w:after="0"/>
              <w:jc w:val="center"/>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橡胶锤</w:t>
            </w:r>
          </w:p>
        </w:tc>
        <w:tc>
          <w:tcPr>
            <w:tcW w:w="1367" w:type="pct"/>
            <w:tcBorders>
              <w:top w:val="single" w:color="000000" w:sz="6" w:space="0"/>
              <w:left w:val="single" w:color="000000" w:sz="6" w:space="0"/>
              <w:bottom w:val="single" w:color="000000" w:sz="6" w:space="0"/>
              <w:right w:val="single" w:color="000000" w:sz="6" w:space="0"/>
            </w:tcBorders>
            <w:vAlign w:val="top"/>
          </w:tcPr>
          <w:p w14:paraId="6B8B541F">
            <w:pP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2B0BA6DD">
            <w:pPr>
              <w:spacing w:after="0"/>
              <w:ind w:left="1" w:leftChars="0"/>
              <w:jc w:val="center"/>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D2E7E4E">
            <w:pPr>
              <w:spacing w:after="0"/>
              <w:ind w:left="176" w:leftChars="0"/>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0345297B">
            <w:pPr>
              <w:rPr>
                <w:sz w:val="20"/>
                <w:szCs w:val="20"/>
              </w:rPr>
            </w:pPr>
          </w:p>
        </w:tc>
      </w:tr>
      <w:tr w14:paraId="3B73379E">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37C4D52A">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17</w:t>
            </w:r>
          </w:p>
        </w:tc>
        <w:tc>
          <w:tcPr>
            <w:tcW w:w="1197" w:type="pct"/>
            <w:tcBorders>
              <w:top w:val="single" w:color="000000" w:sz="6" w:space="0"/>
              <w:left w:val="single" w:color="000000" w:sz="6" w:space="0"/>
              <w:bottom w:val="single" w:color="000000" w:sz="6" w:space="0"/>
              <w:right w:val="single" w:color="000000" w:sz="6" w:space="0"/>
            </w:tcBorders>
            <w:vAlign w:val="bottom"/>
          </w:tcPr>
          <w:p w14:paraId="459038E8">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U盘</w:t>
            </w:r>
          </w:p>
        </w:tc>
        <w:tc>
          <w:tcPr>
            <w:tcW w:w="1367" w:type="pct"/>
            <w:tcBorders>
              <w:top w:val="single" w:color="000000" w:sz="6" w:space="0"/>
              <w:left w:val="single" w:color="000000" w:sz="6" w:space="0"/>
              <w:bottom w:val="single" w:color="000000" w:sz="6" w:space="0"/>
              <w:right w:val="single" w:color="000000" w:sz="6" w:space="0"/>
            </w:tcBorders>
            <w:vAlign w:val="top"/>
          </w:tcPr>
          <w:p w14:paraId="1EAD1FC8">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2.0</w:t>
            </w:r>
          </w:p>
        </w:tc>
        <w:tc>
          <w:tcPr>
            <w:tcW w:w="598" w:type="pct"/>
            <w:tcBorders>
              <w:top w:val="single" w:color="000000" w:sz="6" w:space="0"/>
              <w:left w:val="single" w:color="000000" w:sz="6" w:space="0"/>
              <w:bottom w:val="single" w:color="000000" w:sz="6" w:space="0"/>
              <w:right w:val="single" w:color="000000" w:sz="6" w:space="0"/>
            </w:tcBorders>
            <w:vAlign w:val="bottom"/>
          </w:tcPr>
          <w:p w14:paraId="0C72797E">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310EF7C8">
            <w:pPr>
              <w:spacing w:after="0"/>
              <w:ind w:left="176" w:leftChars="0"/>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159D3629">
            <w:pPr>
              <w:rPr>
                <w:sz w:val="20"/>
                <w:szCs w:val="20"/>
              </w:rPr>
            </w:pPr>
          </w:p>
        </w:tc>
      </w:tr>
      <w:tr w14:paraId="74220C80">
        <w:tblPrEx>
          <w:tblCellMar>
            <w:top w:w="0" w:type="dxa"/>
            <w:left w:w="180" w:type="dxa"/>
            <w:bottom w:w="67" w:type="dxa"/>
            <w:right w:w="179" w:type="dxa"/>
          </w:tblCellMar>
        </w:tblPrEx>
        <w:trPr>
          <w:trHeight w:val="393"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3CE60C59">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18</w:t>
            </w:r>
          </w:p>
        </w:tc>
        <w:tc>
          <w:tcPr>
            <w:tcW w:w="1197" w:type="pct"/>
            <w:tcBorders>
              <w:top w:val="single" w:color="000000" w:sz="6" w:space="0"/>
              <w:left w:val="single" w:color="000000" w:sz="6" w:space="0"/>
              <w:bottom w:val="single" w:color="000000" w:sz="4" w:space="0"/>
              <w:right w:val="single" w:color="000000" w:sz="6" w:space="0"/>
            </w:tcBorders>
            <w:vAlign w:val="bottom"/>
          </w:tcPr>
          <w:p w14:paraId="298E5751">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电工胶带</w:t>
            </w:r>
          </w:p>
        </w:tc>
        <w:tc>
          <w:tcPr>
            <w:tcW w:w="1367" w:type="pct"/>
            <w:tcBorders>
              <w:top w:val="single" w:color="000000" w:sz="6" w:space="0"/>
              <w:left w:val="single" w:color="000000" w:sz="6" w:space="0"/>
              <w:bottom w:val="single" w:color="000000" w:sz="6" w:space="0"/>
              <w:right w:val="single" w:color="000000" w:sz="6" w:space="0"/>
            </w:tcBorders>
            <w:vAlign w:val="top"/>
          </w:tcPr>
          <w:p w14:paraId="032E35DF">
            <w:pPr>
              <w:spacing w:after="0"/>
              <w:jc w:val="center"/>
              <w:rPr>
                <w:rFonts w:hint="eastAsia" w:ascii="仿宋" w:hAnsi="仿宋" w:eastAsia="仿宋" w:cs="仿宋"/>
                <w:sz w:val="22"/>
                <w:szCs w:val="20"/>
                <w:lang w:val="en-US" w:eastAsia="zh-CN"/>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3D5B3BF7">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71A2DE2">
            <w:pPr>
              <w:spacing w:after="0"/>
              <w:ind w:left="176" w:leftChars="0"/>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卷</w:t>
            </w:r>
          </w:p>
        </w:tc>
        <w:tc>
          <w:tcPr>
            <w:tcW w:w="555" w:type="pct"/>
            <w:tcBorders>
              <w:top w:val="single" w:color="000000" w:sz="6" w:space="0"/>
              <w:left w:val="single" w:color="000000" w:sz="6" w:space="0"/>
              <w:bottom w:val="single" w:color="000000" w:sz="6" w:space="0"/>
              <w:right w:val="single" w:color="000000" w:sz="4" w:space="0"/>
            </w:tcBorders>
          </w:tcPr>
          <w:p w14:paraId="40D2EA34">
            <w:pPr>
              <w:rPr>
                <w:sz w:val="20"/>
                <w:szCs w:val="20"/>
              </w:rPr>
            </w:pPr>
          </w:p>
        </w:tc>
      </w:tr>
    </w:tbl>
    <w:p w14:paraId="0D84BDFC">
      <w:pPr>
        <w:pageBreakBefore w:val="0"/>
        <w:kinsoku/>
        <w:wordWrap/>
        <w:overflowPunct/>
        <w:topLinePunct w:val="0"/>
        <w:bidi w:val="0"/>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选手禁止携带易燃易爆、电子设备等与大赛无关的物品，违规者取消比赛资格。</w:t>
      </w:r>
    </w:p>
    <w:p w14:paraId="65140D1C">
      <w:p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br w:type="page"/>
      </w:r>
    </w:p>
    <w:p w14:paraId="5404A974">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九、设备说明</w:t>
      </w:r>
    </w:p>
    <w:tbl>
      <w:tblPr>
        <w:tblStyle w:val="13"/>
        <w:tblW w:w="86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8"/>
        <w:gridCol w:w="1333"/>
        <w:gridCol w:w="4940"/>
        <w:gridCol w:w="1335"/>
      </w:tblGrid>
      <w:tr w14:paraId="63B88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 w:hRule="atLeast"/>
          <w:jc w:val="center"/>
        </w:trPr>
        <w:tc>
          <w:tcPr>
            <w:tcW w:w="1038" w:type="dxa"/>
            <w:shd w:val="clear" w:color="auto" w:fill="8DB3E2"/>
            <w:vAlign w:val="center"/>
          </w:tcPr>
          <w:p w14:paraId="4B13F6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7"/>
                <w:sz w:val="24"/>
                <w:szCs w:val="24"/>
              </w:rPr>
              <w:t>设备编号</w:t>
            </w:r>
          </w:p>
        </w:tc>
        <w:tc>
          <w:tcPr>
            <w:tcW w:w="1333" w:type="dxa"/>
            <w:shd w:val="clear" w:color="auto" w:fill="8DB3E2"/>
            <w:vAlign w:val="center"/>
          </w:tcPr>
          <w:p w14:paraId="38C0A8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7"/>
                <w:sz w:val="24"/>
                <w:szCs w:val="24"/>
              </w:rPr>
              <w:t>名称</w:t>
            </w:r>
          </w:p>
        </w:tc>
        <w:tc>
          <w:tcPr>
            <w:tcW w:w="4940" w:type="dxa"/>
            <w:shd w:val="clear" w:color="auto" w:fill="8DB3E2"/>
            <w:vAlign w:val="center"/>
          </w:tcPr>
          <w:p w14:paraId="6E72953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5"/>
                <w:sz w:val="24"/>
                <w:szCs w:val="24"/>
              </w:rPr>
              <w:t>需求规格描述</w:t>
            </w:r>
          </w:p>
        </w:tc>
        <w:tc>
          <w:tcPr>
            <w:tcW w:w="1335" w:type="dxa"/>
            <w:shd w:val="clear" w:color="auto" w:fill="8DB3E2"/>
            <w:vAlign w:val="center"/>
          </w:tcPr>
          <w:p w14:paraId="0FFB52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图片</w:t>
            </w:r>
          </w:p>
        </w:tc>
      </w:tr>
      <w:tr w14:paraId="43713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38" w:type="dxa"/>
            <w:vAlign w:val="center"/>
          </w:tcPr>
          <w:p w14:paraId="6AC792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333" w:type="dxa"/>
            <w:vAlign w:val="center"/>
          </w:tcPr>
          <w:p w14:paraId="56A0B6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工业机器人本</w:t>
            </w:r>
            <w:r>
              <w:rPr>
                <w:rFonts w:hint="eastAsia" w:ascii="仿宋" w:hAnsi="仿宋" w:eastAsia="仿宋" w:cs="仿宋"/>
                <w:sz w:val="24"/>
                <w:szCs w:val="24"/>
              </w:rPr>
              <w:t>体</w:t>
            </w:r>
          </w:p>
        </w:tc>
        <w:tc>
          <w:tcPr>
            <w:tcW w:w="4940" w:type="dxa"/>
            <w:vAlign w:val="center"/>
          </w:tcPr>
          <w:p w14:paraId="2F6B5F00">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6</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轴串联多关节工业机器人</w:t>
            </w:r>
            <w:r>
              <w:rPr>
                <w:rFonts w:hint="eastAsia" w:ascii="仿宋" w:hAnsi="仿宋" w:eastAsia="仿宋" w:cs="仿宋"/>
                <w:spacing w:val="-4"/>
                <w:sz w:val="24"/>
                <w:szCs w:val="24"/>
              </w:rPr>
              <w:t>设备配套负载为</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6kg</w:t>
            </w:r>
            <w:r>
              <w:rPr>
                <w:rFonts w:hint="eastAsia" w:ascii="仿宋" w:hAnsi="仿宋" w:eastAsia="仿宋" w:cs="仿宋"/>
                <w:spacing w:val="-23"/>
                <w:sz w:val="24"/>
                <w:szCs w:val="24"/>
              </w:rPr>
              <w:t xml:space="preserve"> </w:t>
            </w:r>
            <w:r>
              <w:rPr>
                <w:rFonts w:hint="eastAsia" w:ascii="仿宋" w:hAnsi="仿宋" w:eastAsia="仿宋" w:cs="仿宋"/>
                <w:spacing w:val="-4"/>
                <w:sz w:val="24"/>
                <w:szCs w:val="24"/>
              </w:rPr>
              <w:t>的</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6 自由度工业机器人重复定</w:t>
            </w:r>
            <w:r>
              <w:rPr>
                <w:rFonts w:hint="eastAsia" w:ascii="仿宋" w:hAnsi="仿宋" w:eastAsia="仿宋" w:cs="仿宋"/>
                <w:spacing w:val="-3"/>
                <w:sz w:val="24"/>
                <w:szCs w:val="24"/>
              </w:rPr>
              <w:t>位精度</w:t>
            </w:r>
          </w:p>
        </w:tc>
        <w:tc>
          <w:tcPr>
            <w:tcW w:w="1335" w:type="dxa"/>
            <w:vAlign w:val="center"/>
          </w:tcPr>
          <w:p w14:paraId="7803F2C8">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2"/>
                <w:sz w:val="24"/>
                <w:szCs w:val="24"/>
              </w:rPr>
              <w:drawing>
                <wp:inline distT="0" distB="0" distL="0" distR="0">
                  <wp:extent cx="718185" cy="1015365"/>
                  <wp:effectExtent l="0" t="0" r="5715" b="3810"/>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4"/>
                          <a:stretch>
                            <a:fillRect/>
                          </a:stretch>
                        </pic:blipFill>
                        <pic:spPr>
                          <a:xfrm>
                            <a:off x="0" y="0"/>
                            <a:ext cx="718185" cy="1015365"/>
                          </a:xfrm>
                          <a:prstGeom prst="rect">
                            <a:avLst/>
                          </a:prstGeom>
                        </pic:spPr>
                      </pic:pic>
                    </a:graphicData>
                  </a:graphic>
                </wp:inline>
              </w:drawing>
            </w:r>
          </w:p>
        </w:tc>
      </w:tr>
      <w:tr w14:paraId="23B1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4" w:hRule="atLeast"/>
          <w:jc w:val="center"/>
        </w:trPr>
        <w:tc>
          <w:tcPr>
            <w:tcW w:w="1038" w:type="dxa"/>
            <w:vAlign w:val="center"/>
          </w:tcPr>
          <w:p w14:paraId="236526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333" w:type="dxa"/>
            <w:vAlign w:val="center"/>
          </w:tcPr>
          <w:p w14:paraId="2BBC0F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工业机器人控</w:t>
            </w:r>
            <w:r>
              <w:rPr>
                <w:rFonts w:hint="eastAsia" w:ascii="仿宋" w:hAnsi="仿宋" w:eastAsia="仿宋" w:cs="仿宋"/>
                <w:spacing w:val="-3"/>
                <w:sz w:val="24"/>
                <w:szCs w:val="24"/>
              </w:rPr>
              <w:t>制系统</w:t>
            </w:r>
          </w:p>
        </w:tc>
        <w:tc>
          <w:tcPr>
            <w:tcW w:w="4940" w:type="dxa"/>
            <w:vAlign w:val="center"/>
          </w:tcPr>
          <w:p w14:paraId="6C02EF0B">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工业机器人控制系统由机器人运动控制器</w:t>
            </w:r>
            <w:r>
              <w:rPr>
                <w:rFonts w:hint="eastAsia" w:ascii="仿宋" w:hAnsi="仿宋" w:eastAsia="仿宋" w:cs="仿宋"/>
                <w:sz w:val="24"/>
                <w:szCs w:val="24"/>
              </w:rPr>
              <w:t>Robox</w:t>
            </w:r>
            <w:r>
              <w:rPr>
                <w:rFonts w:hint="eastAsia" w:ascii="仿宋" w:hAnsi="仿宋" w:eastAsia="仿宋" w:cs="仿宋"/>
                <w:spacing w:val="1"/>
                <w:sz w:val="24"/>
                <w:szCs w:val="24"/>
              </w:rPr>
              <w:t>、</w:t>
            </w:r>
            <w:r>
              <w:rPr>
                <w:rFonts w:hint="eastAsia" w:ascii="仿宋" w:hAnsi="仿宋" w:eastAsia="仿宋" w:cs="仿宋"/>
                <w:spacing w:val="-1"/>
                <w:sz w:val="24"/>
                <w:szCs w:val="24"/>
              </w:rPr>
              <w:t>伺服驱动器、示教器、机箱等组成，用于控制和操作工业机器人本体。工业机器人控制系统配置有数</w:t>
            </w:r>
            <w:r>
              <w:rPr>
                <w:rFonts w:hint="eastAsia" w:ascii="仿宋" w:hAnsi="仿宋" w:eastAsia="仿宋" w:cs="仿宋"/>
                <w:spacing w:val="-2"/>
                <w:sz w:val="24"/>
                <w:szCs w:val="24"/>
              </w:rPr>
              <w:t>字量</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I/O</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模块和工业以太网及总线模块。</w:t>
            </w:r>
          </w:p>
        </w:tc>
        <w:tc>
          <w:tcPr>
            <w:tcW w:w="1335" w:type="dxa"/>
            <w:vAlign w:val="center"/>
          </w:tcPr>
          <w:p w14:paraId="5B0CD004">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47"/>
                <w:sz w:val="24"/>
                <w:szCs w:val="24"/>
              </w:rPr>
              <w:drawing>
                <wp:inline distT="0" distB="0" distL="0" distR="0">
                  <wp:extent cx="935990" cy="469265"/>
                  <wp:effectExtent l="0" t="0" r="6985" b="698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
                          <a:stretch>
                            <a:fillRect/>
                          </a:stretch>
                        </pic:blipFill>
                        <pic:spPr>
                          <a:xfrm>
                            <a:off x="0" y="0"/>
                            <a:ext cx="935990" cy="469265"/>
                          </a:xfrm>
                          <a:prstGeom prst="rect">
                            <a:avLst/>
                          </a:prstGeom>
                        </pic:spPr>
                      </pic:pic>
                    </a:graphicData>
                  </a:graphic>
                </wp:inline>
              </w:drawing>
            </w:r>
          </w:p>
        </w:tc>
      </w:tr>
      <w:tr w14:paraId="39940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 w:hRule="atLeast"/>
          <w:jc w:val="center"/>
        </w:trPr>
        <w:tc>
          <w:tcPr>
            <w:tcW w:w="1038" w:type="dxa"/>
            <w:vAlign w:val="center"/>
          </w:tcPr>
          <w:p w14:paraId="3A4589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1333" w:type="dxa"/>
            <w:vAlign w:val="center"/>
          </w:tcPr>
          <w:p w14:paraId="6A471E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标准实训台</w:t>
            </w:r>
          </w:p>
        </w:tc>
        <w:tc>
          <w:tcPr>
            <w:tcW w:w="4940" w:type="dxa"/>
            <w:vAlign w:val="center"/>
          </w:tcPr>
          <w:p w14:paraId="0AB0FC17">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实训台由铝合金型材搭建，四周安装有机玻璃可视化门板，底部安装钣金，平台上固定有快换支架，可根据培训项目更换模块位置。</w:t>
            </w:r>
            <w:r>
              <w:rPr>
                <w:rFonts w:hint="eastAsia" w:ascii="仿宋" w:hAnsi="仿宋" w:eastAsia="仿宋" w:cs="仿宋"/>
                <w:spacing w:val="-2"/>
                <w:sz w:val="24"/>
                <w:szCs w:val="24"/>
              </w:rPr>
              <w:t>实训台尺寸：1800×1400×2000mm（长×宽×高）。</w:t>
            </w:r>
          </w:p>
        </w:tc>
        <w:tc>
          <w:tcPr>
            <w:tcW w:w="1335" w:type="dxa"/>
            <w:vAlign w:val="center"/>
          </w:tcPr>
          <w:p w14:paraId="1A18C251">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150"/>
                <w:sz w:val="24"/>
                <w:szCs w:val="24"/>
              </w:rPr>
              <w:drawing>
                <wp:inline distT="0" distB="0" distL="0" distR="0">
                  <wp:extent cx="824230" cy="1056640"/>
                  <wp:effectExtent l="0" t="0" r="4445" b="635"/>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6"/>
                          <a:stretch>
                            <a:fillRect/>
                          </a:stretch>
                        </pic:blipFill>
                        <pic:spPr>
                          <a:xfrm>
                            <a:off x="0" y="0"/>
                            <a:ext cx="824230" cy="1056640"/>
                          </a:xfrm>
                          <a:prstGeom prst="rect">
                            <a:avLst/>
                          </a:prstGeom>
                        </pic:spPr>
                      </pic:pic>
                    </a:graphicData>
                  </a:graphic>
                </wp:inline>
              </w:drawing>
            </w:r>
          </w:p>
        </w:tc>
      </w:tr>
      <w:tr w14:paraId="0261B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1038" w:type="dxa"/>
            <w:vAlign w:val="center"/>
          </w:tcPr>
          <w:p w14:paraId="74C387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1333" w:type="dxa"/>
            <w:vAlign w:val="center"/>
          </w:tcPr>
          <w:p w14:paraId="125295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快换工具模块</w:t>
            </w:r>
          </w:p>
        </w:tc>
        <w:tc>
          <w:tcPr>
            <w:tcW w:w="4940" w:type="dxa"/>
            <w:vAlign w:val="center"/>
          </w:tcPr>
          <w:p w14:paraId="657FD614">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由工业机器人快换夹具、绘图笔、工具坐标顶针、</w:t>
            </w:r>
            <w:r>
              <w:rPr>
                <w:rFonts w:hint="eastAsia" w:ascii="仿宋" w:hAnsi="仿宋" w:eastAsia="仿宋" w:cs="仿宋"/>
                <w:spacing w:val="-1"/>
                <w:sz w:val="24"/>
                <w:szCs w:val="24"/>
              </w:rPr>
              <w:t>吸盘工具、夹爪工具等组成，可根据培训项目由机器人自动更换夹具，完成不同培训考核内容。</w:t>
            </w:r>
          </w:p>
        </w:tc>
        <w:tc>
          <w:tcPr>
            <w:tcW w:w="1335" w:type="dxa"/>
            <w:vAlign w:val="center"/>
          </w:tcPr>
          <w:p w14:paraId="6EF30D55">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64"/>
                <w:sz w:val="24"/>
                <w:szCs w:val="24"/>
              </w:rPr>
              <w:drawing>
                <wp:inline distT="0" distB="0" distL="0" distR="0">
                  <wp:extent cx="833755" cy="712470"/>
                  <wp:effectExtent l="0" t="0" r="4445" b="190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
                          <a:stretch>
                            <a:fillRect/>
                          </a:stretch>
                        </pic:blipFill>
                        <pic:spPr>
                          <a:xfrm>
                            <a:off x="0" y="0"/>
                            <a:ext cx="833755" cy="712470"/>
                          </a:xfrm>
                          <a:prstGeom prst="rect">
                            <a:avLst/>
                          </a:prstGeom>
                        </pic:spPr>
                      </pic:pic>
                    </a:graphicData>
                  </a:graphic>
                </wp:inline>
              </w:drawing>
            </w:r>
          </w:p>
        </w:tc>
      </w:tr>
      <w:tr w14:paraId="2FF64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3" w:hRule="atLeast"/>
          <w:jc w:val="center"/>
        </w:trPr>
        <w:tc>
          <w:tcPr>
            <w:tcW w:w="1038" w:type="dxa"/>
            <w:vAlign w:val="center"/>
          </w:tcPr>
          <w:p w14:paraId="4AD841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333" w:type="dxa"/>
            <w:vAlign w:val="center"/>
          </w:tcPr>
          <w:p w14:paraId="3A938F5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旋转供料模块</w:t>
            </w:r>
          </w:p>
        </w:tc>
        <w:tc>
          <w:tcPr>
            <w:tcW w:w="4940" w:type="dxa"/>
            <w:vAlign w:val="center"/>
          </w:tcPr>
          <w:p w14:paraId="2FF046BF">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由安装底板、支撑架、步进电机、步进驱动器、检</w:t>
            </w:r>
          </w:p>
          <w:p w14:paraId="2C37C5DD">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测传感器等组成。采用步进驱动旋转供料，用于机</w:t>
            </w:r>
          </w:p>
          <w:p w14:paraId="40AD66F7">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器人协同作业，完成供料及中转任务。</w:t>
            </w:r>
          </w:p>
        </w:tc>
        <w:tc>
          <w:tcPr>
            <w:tcW w:w="1335" w:type="dxa"/>
            <w:vAlign w:val="center"/>
          </w:tcPr>
          <w:p w14:paraId="0FBA0917">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59264" behindDoc="0" locked="0" layoutInCell="1" allowOverlap="1">
                  <wp:simplePos x="0" y="0"/>
                  <wp:positionH relativeFrom="margin">
                    <wp:posOffset>224790</wp:posOffset>
                  </wp:positionH>
                  <wp:positionV relativeFrom="paragraph">
                    <wp:posOffset>89535</wp:posOffset>
                  </wp:positionV>
                  <wp:extent cx="706120" cy="718185"/>
                  <wp:effectExtent l="74930" t="73025" r="76200" b="75565"/>
                  <wp:wrapSquare wrapText="bothSides"/>
                  <wp:docPr id="5" name="图片 5" descr="桌子上的凳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桌子上的凳子&#10;&#10;低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778964">
                            <a:off x="0" y="0"/>
                            <a:ext cx="706120" cy="718185"/>
                          </a:xfrm>
                          <a:prstGeom prst="rect">
                            <a:avLst/>
                          </a:prstGeom>
                        </pic:spPr>
                      </pic:pic>
                    </a:graphicData>
                  </a:graphic>
                </wp:anchor>
              </w:drawing>
            </w:r>
          </w:p>
        </w:tc>
      </w:tr>
      <w:tr w14:paraId="44D9A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8" w:hRule="atLeast"/>
          <w:jc w:val="center"/>
        </w:trPr>
        <w:tc>
          <w:tcPr>
            <w:tcW w:w="1038" w:type="dxa"/>
            <w:vAlign w:val="center"/>
          </w:tcPr>
          <w:p w14:paraId="08097B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6</w:t>
            </w:r>
          </w:p>
        </w:tc>
        <w:tc>
          <w:tcPr>
            <w:tcW w:w="1333" w:type="dxa"/>
            <w:vAlign w:val="center"/>
          </w:tcPr>
          <w:p w14:paraId="54211E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井式供料模块</w:t>
            </w:r>
          </w:p>
        </w:tc>
        <w:tc>
          <w:tcPr>
            <w:tcW w:w="4940" w:type="dxa"/>
            <w:vAlign w:val="center"/>
          </w:tcPr>
          <w:p w14:paraId="3BB16DA9">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由推料装置、井式落料装置、安装底板及检测传感</w:t>
            </w:r>
            <w:r>
              <w:rPr>
                <w:rFonts w:hint="eastAsia" w:ascii="仿宋" w:hAnsi="仿宋" w:eastAsia="仿宋" w:cs="仿宋"/>
                <w:spacing w:val="7"/>
                <w:sz w:val="24"/>
                <w:szCs w:val="24"/>
              </w:rPr>
              <w:t xml:space="preserve">  </w:t>
            </w:r>
            <w:r>
              <w:rPr>
                <w:rFonts w:hint="eastAsia" w:ascii="仿宋" w:hAnsi="仿宋" w:eastAsia="仿宋" w:cs="仿宋"/>
                <w:spacing w:val="-5"/>
                <w:sz w:val="24"/>
                <w:szCs w:val="24"/>
              </w:rPr>
              <w:t>器组成，完成中间法兰和输出法兰自动落料及推料。</w:t>
            </w:r>
          </w:p>
        </w:tc>
        <w:tc>
          <w:tcPr>
            <w:tcW w:w="1335" w:type="dxa"/>
            <w:vAlign w:val="center"/>
          </w:tcPr>
          <w:p w14:paraId="11080D6A">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58"/>
                <w:sz w:val="24"/>
                <w:szCs w:val="24"/>
              </w:rPr>
              <w:drawing>
                <wp:inline distT="0" distB="0" distL="0" distR="0">
                  <wp:extent cx="923925" cy="762635"/>
                  <wp:effectExtent l="0" t="0" r="0" b="8890"/>
                  <wp:docPr id="2" name="IM 12"/>
                  <wp:cNvGraphicFramePr/>
                  <a:graphic xmlns:a="http://schemas.openxmlformats.org/drawingml/2006/main">
                    <a:graphicData uri="http://schemas.openxmlformats.org/drawingml/2006/picture">
                      <pic:pic xmlns:pic="http://schemas.openxmlformats.org/drawingml/2006/picture">
                        <pic:nvPicPr>
                          <pic:cNvPr id="2" name="IM 12"/>
                          <pic:cNvPicPr/>
                        </pic:nvPicPr>
                        <pic:blipFill>
                          <a:blip r:embed="rId9"/>
                          <a:stretch>
                            <a:fillRect/>
                          </a:stretch>
                        </pic:blipFill>
                        <pic:spPr>
                          <a:xfrm>
                            <a:off x="0" y="0"/>
                            <a:ext cx="923925" cy="762635"/>
                          </a:xfrm>
                          <a:prstGeom prst="rect">
                            <a:avLst/>
                          </a:prstGeom>
                        </pic:spPr>
                      </pic:pic>
                    </a:graphicData>
                  </a:graphic>
                </wp:inline>
              </w:drawing>
            </w:r>
          </w:p>
        </w:tc>
      </w:tr>
      <w:tr w14:paraId="13468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 w:hRule="atLeast"/>
          <w:jc w:val="center"/>
        </w:trPr>
        <w:tc>
          <w:tcPr>
            <w:tcW w:w="1038" w:type="dxa"/>
            <w:vAlign w:val="center"/>
          </w:tcPr>
          <w:p w14:paraId="22B3B8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7</w:t>
            </w:r>
          </w:p>
        </w:tc>
        <w:tc>
          <w:tcPr>
            <w:tcW w:w="1333" w:type="dxa"/>
            <w:vAlign w:val="center"/>
          </w:tcPr>
          <w:p w14:paraId="7FB9E0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皮带输送模块</w:t>
            </w:r>
          </w:p>
        </w:tc>
        <w:tc>
          <w:tcPr>
            <w:tcW w:w="4940" w:type="dxa"/>
            <w:vAlign w:val="center"/>
          </w:tcPr>
          <w:p w14:paraId="5901FDC2">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由铝合金框架、三相异步电机、传送带及安装底</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座组成，完成工件的输送任务，可与井式供料模块</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及视觉检测模块配合使用，共同完成中间法兰和输</w:t>
            </w:r>
            <w:r>
              <w:rPr>
                <w:rFonts w:hint="eastAsia" w:ascii="仿宋" w:hAnsi="仿宋" w:eastAsia="仿宋" w:cs="仿宋"/>
                <w:spacing w:val="-2"/>
                <w:sz w:val="24"/>
                <w:szCs w:val="24"/>
              </w:rPr>
              <w:t>出法兰的落料、传输及检测等任务。</w:t>
            </w:r>
          </w:p>
        </w:tc>
        <w:tc>
          <w:tcPr>
            <w:tcW w:w="1335" w:type="dxa"/>
            <w:vAlign w:val="center"/>
          </w:tcPr>
          <w:p w14:paraId="1E351D49">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54"/>
                <w:sz w:val="24"/>
                <w:szCs w:val="24"/>
              </w:rPr>
              <w:drawing>
                <wp:inline distT="0" distB="0" distL="0" distR="0">
                  <wp:extent cx="1067435" cy="572135"/>
                  <wp:effectExtent l="0" t="0" r="8890" b="889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067435" cy="572135"/>
                          </a:xfrm>
                          <a:prstGeom prst="rect">
                            <a:avLst/>
                          </a:prstGeom>
                        </pic:spPr>
                      </pic:pic>
                    </a:graphicData>
                  </a:graphic>
                </wp:inline>
              </w:drawing>
            </w:r>
          </w:p>
        </w:tc>
      </w:tr>
      <w:tr w14:paraId="278CD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1" w:hRule="atLeast"/>
          <w:jc w:val="center"/>
        </w:trPr>
        <w:tc>
          <w:tcPr>
            <w:tcW w:w="1038" w:type="dxa"/>
            <w:vAlign w:val="center"/>
          </w:tcPr>
          <w:p w14:paraId="12E326E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c>
          <w:tcPr>
            <w:tcW w:w="1333" w:type="dxa"/>
            <w:vAlign w:val="center"/>
          </w:tcPr>
          <w:p w14:paraId="53DFE9C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搬运模块</w:t>
            </w:r>
          </w:p>
        </w:tc>
        <w:tc>
          <w:tcPr>
            <w:tcW w:w="4940" w:type="dxa"/>
            <w:vAlign w:val="center"/>
          </w:tcPr>
          <w:p w14:paraId="3EAB29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仿宋" w:hAnsi="仿宋" w:eastAsia="仿宋" w:cs="仿宋"/>
                <w:spacing w:val="-2"/>
                <w:sz w:val="24"/>
                <w:szCs w:val="24"/>
              </w:rPr>
            </w:pPr>
            <w:r>
              <w:rPr>
                <w:rFonts w:hint="eastAsia" w:ascii="仿宋" w:hAnsi="仿宋" w:eastAsia="仿宋" w:cs="仿宋"/>
                <w:spacing w:val="-6"/>
                <w:sz w:val="24"/>
                <w:szCs w:val="24"/>
              </w:rPr>
              <w:t>由立体物料放置面板、安装底板和搬运物料等组成，</w:t>
            </w:r>
            <w:r>
              <w:rPr>
                <w:rFonts w:hint="eastAsia" w:ascii="仿宋" w:hAnsi="仿宋" w:eastAsia="仿宋" w:cs="仿宋"/>
                <w:sz w:val="24"/>
                <w:szCs w:val="24"/>
              </w:rPr>
              <w:t>工业机器人通过吸附工具将物料搬运到相应的位置</w:t>
            </w:r>
            <w:r>
              <w:rPr>
                <w:rFonts w:hint="eastAsia" w:ascii="仿宋" w:hAnsi="仿宋" w:eastAsia="仿宋" w:cs="仿宋"/>
                <w:spacing w:val="-5"/>
                <w:sz w:val="24"/>
                <w:szCs w:val="24"/>
              </w:rPr>
              <w:t>上，训练机器人工件坐标系的建立及搬运示教任务。</w:t>
            </w:r>
          </w:p>
        </w:tc>
        <w:tc>
          <w:tcPr>
            <w:tcW w:w="1335" w:type="dxa"/>
            <w:vAlign w:val="center"/>
          </w:tcPr>
          <w:p w14:paraId="6FA96EA3">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6"/>
                <w:sz w:val="24"/>
                <w:szCs w:val="24"/>
              </w:rPr>
              <w:drawing>
                <wp:inline distT="0" distB="0" distL="0" distR="0">
                  <wp:extent cx="831215" cy="967740"/>
                  <wp:effectExtent l="0" t="0" r="6985" b="3810"/>
                  <wp:docPr id="7" name="IM 16"/>
                  <wp:cNvGraphicFramePr/>
                  <a:graphic xmlns:a="http://schemas.openxmlformats.org/drawingml/2006/main">
                    <a:graphicData uri="http://schemas.openxmlformats.org/drawingml/2006/picture">
                      <pic:pic xmlns:pic="http://schemas.openxmlformats.org/drawingml/2006/picture">
                        <pic:nvPicPr>
                          <pic:cNvPr id="7" name="IM 16"/>
                          <pic:cNvPicPr/>
                        </pic:nvPicPr>
                        <pic:blipFill>
                          <a:blip r:embed="rId11"/>
                          <a:stretch>
                            <a:fillRect/>
                          </a:stretch>
                        </pic:blipFill>
                        <pic:spPr>
                          <a:xfrm>
                            <a:off x="0" y="0"/>
                            <a:ext cx="831215" cy="967740"/>
                          </a:xfrm>
                          <a:prstGeom prst="rect">
                            <a:avLst/>
                          </a:prstGeom>
                        </pic:spPr>
                      </pic:pic>
                    </a:graphicData>
                  </a:graphic>
                </wp:inline>
              </w:drawing>
            </w:r>
          </w:p>
        </w:tc>
      </w:tr>
      <w:tr w14:paraId="1487F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0" w:hRule="atLeast"/>
          <w:jc w:val="center"/>
        </w:trPr>
        <w:tc>
          <w:tcPr>
            <w:tcW w:w="1038" w:type="dxa"/>
            <w:vAlign w:val="center"/>
          </w:tcPr>
          <w:p w14:paraId="75FF056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9</w:t>
            </w:r>
          </w:p>
        </w:tc>
        <w:tc>
          <w:tcPr>
            <w:tcW w:w="1333" w:type="dxa"/>
            <w:vAlign w:val="center"/>
          </w:tcPr>
          <w:p w14:paraId="6CC932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轨迹模块</w:t>
            </w:r>
          </w:p>
        </w:tc>
        <w:tc>
          <w:tcPr>
            <w:tcW w:w="4940" w:type="dxa"/>
            <w:vAlign w:val="center"/>
          </w:tcPr>
          <w:p w14:paraId="75916E39">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由立体轨迹示教面板，安装底板组成，工业机器人</w:t>
            </w:r>
          </w:p>
          <w:p w14:paraId="4086F9F2">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通过末端笔型工具进行轨迹示教任务，训练机器人</w:t>
            </w:r>
          </w:p>
          <w:p w14:paraId="0EBF01E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基本的点、直线、曲线运动的循迹任务。</w:t>
            </w:r>
          </w:p>
        </w:tc>
        <w:tc>
          <w:tcPr>
            <w:tcW w:w="1335" w:type="dxa"/>
            <w:vAlign w:val="center"/>
          </w:tcPr>
          <w:p w14:paraId="40A1B173">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2"/>
                <w:sz w:val="24"/>
                <w:szCs w:val="24"/>
              </w:rPr>
              <w:drawing>
                <wp:inline distT="0" distB="0" distL="0" distR="0">
                  <wp:extent cx="924560" cy="869950"/>
                  <wp:effectExtent l="0" t="0" r="8890" b="635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924560" cy="869950"/>
                          </a:xfrm>
                          <a:prstGeom prst="rect">
                            <a:avLst/>
                          </a:prstGeom>
                        </pic:spPr>
                      </pic:pic>
                    </a:graphicData>
                  </a:graphic>
                </wp:inline>
              </w:drawing>
            </w:r>
          </w:p>
        </w:tc>
      </w:tr>
      <w:tr w14:paraId="1567C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jc w:val="center"/>
        </w:trPr>
        <w:tc>
          <w:tcPr>
            <w:tcW w:w="1038" w:type="dxa"/>
            <w:vAlign w:val="center"/>
          </w:tcPr>
          <w:p w14:paraId="286878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10</w:t>
            </w:r>
          </w:p>
        </w:tc>
        <w:tc>
          <w:tcPr>
            <w:tcW w:w="1333" w:type="dxa"/>
            <w:vAlign w:val="center"/>
          </w:tcPr>
          <w:p w14:paraId="15B8C82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绘图模块</w:t>
            </w:r>
          </w:p>
        </w:tc>
        <w:tc>
          <w:tcPr>
            <w:tcW w:w="4940" w:type="dxa"/>
            <w:vAlign w:val="center"/>
          </w:tcPr>
          <w:p w14:paraId="4EC1338C">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与轨迹模块共用立体示教面板与安装底板，工业机</w:t>
            </w:r>
          </w:p>
          <w:p w14:paraId="406F57BC">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器人通过末端绘图笔进行绘图示教任务，可完成不</w:t>
            </w:r>
          </w:p>
          <w:p w14:paraId="751FF6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同角度指定图形的绘制任务。</w:t>
            </w:r>
          </w:p>
        </w:tc>
        <w:tc>
          <w:tcPr>
            <w:tcW w:w="1335" w:type="dxa"/>
            <w:vAlign w:val="center"/>
          </w:tcPr>
          <w:p w14:paraId="0B70684A">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6"/>
                <w:sz w:val="24"/>
                <w:szCs w:val="24"/>
              </w:rPr>
              <w:drawing>
                <wp:inline distT="0" distB="0" distL="0" distR="0">
                  <wp:extent cx="795020" cy="826770"/>
                  <wp:effectExtent l="0" t="0" r="5080" b="1905"/>
                  <wp:docPr id="9" name="IM 20"/>
                  <wp:cNvGraphicFramePr/>
                  <a:graphic xmlns:a="http://schemas.openxmlformats.org/drawingml/2006/main">
                    <a:graphicData uri="http://schemas.openxmlformats.org/drawingml/2006/picture">
                      <pic:pic xmlns:pic="http://schemas.openxmlformats.org/drawingml/2006/picture">
                        <pic:nvPicPr>
                          <pic:cNvPr id="9" name="IM 20"/>
                          <pic:cNvPicPr/>
                        </pic:nvPicPr>
                        <pic:blipFill>
                          <a:blip r:embed="rId13"/>
                          <a:stretch>
                            <a:fillRect/>
                          </a:stretch>
                        </pic:blipFill>
                        <pic:spPr>
                          <a:xfrm>
                            <a:off x="0" y="0"/>
                            <a:ext cx="795020" cy="826770"/>
                          </a:xfrm>
                          <a:prstGeom prst="rect">
                            <a:avLst/>
                          </a:prstGeom>
                        </pic:spPr>
                      </pic:pic>
                    </a:graphicData>
                  </a:graphic>
                </wp:inline>
              </w:drawing>
            </w:r>
          </w:p>
        </w:tc>
      </w:tr>
      <w:tr w14:paraId="04245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1038" w:type="dxa"/>
            <w:vAlign w:val="center"/>
          </w:tcPr>
          <w:p w14:paraId="6966B7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11</w:t>
            </w:r>
          </w:p>
        </w:tc>
        <w:tc>
          <w:tcPr>
            <w:tcW w:w="1333" w:type="dxa"/>
            <w:vAlign w:val="center"/>
          </w:tcPr>
          <w:p w14:paraId="6E03E7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装配模块</w:t>
            </w:r>
          </w:p>
        </w:tc>
        <w:tc>
          <w:tcPr>
            <w:tcW w:w="4940" w:type="dxa"/>
            <w:vAlign w:val="center"/>
          </w:tcPr>
          <w:p w14:paraId="20A0496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可以配合机器人完成装配任务。</w:t>
            </w:r>
          </w:p>
        </w:tc>
        <w:tc>
          <w:tcPr>
            <w:tcW w:w="1335" w:type="dxa"/>
            <w:vAlign w:val="center"/>
          </w:tcPr>
          <w:p w14:paraId="7F9E7FAA">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6"/>
                <w:sz w:val="24"/>
                <w:szCs w:val="24"/>
              </w:rPr>
              <w:drawing>
                <wp:inline distT="0" distB="0" distL="0" distR="0">
                  <wp:extent cx="956310" cy="724535"/>
                  <wp:effectExtent l="0" t="0" r="5715" b="8890"/>
                  <wp:docPr id="11" name="IM 22"/>
                  <wp:cNvGraphicFramePr/>
                  <a:graphic xmlns:a="http://schemas.openxmlformats.org/drawingml/2006/main">
                    <a:graphicData uri="http://schemas.openxmlformats.org/drawingml/2006/picture">
                      <pic:pic xmlns:pic="http://schemas.openxmlformats.org/drawingml/2006/picture">
                        <pic:nvPicPr>
                          <pic:cNvPr id="11" name="IM 22"/>
                          <pic:cNvPicPr/>
                        </pic:nvPicPr>
                        <pic:blipFill>
                          <a:blip r:embed="rId14"/>
                          <a:stretch>
                            <a:fillRect/>
                          </a:stretch>
                        </pic:blipFill>
                        <pic:spPr>
                          <a:xfrm>
                            <a:off x="0" y="0"/>
                            <a:ext cx="956310" cy="724535"/>
                          </a:xfrm>
                          <a:prstGeom prst="rect">
                            <a:avLst/>
                          </a:prstGeom>
                        </pic:spPr>
                      </pic:pic>
                    </a:graphicData>
                  </a:graphic>
                </wp:inline>
              </w:drawing>
            </w:r>
          </w:p>
        </w:tc>
      </w:tr>
      <w:tr w14:paraId="2405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3" w:hRule="atLeast"/>
          <w:jc w:val="center"/>
        </w:trPr>
        <w:tc>
          <w:tcPr>
            <w:tcW w:w="1038" w:type="dxa"/>
            <w:vAlign w:val="center"/>
          </w:tcPr>
          <w:p w14:paraId="68AF3D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12</w:t>
            </w:r>
          </w:p>
        </w:tc>
        <w:tc>
          <w:tcPr>
            <w:tcW w:w="1333" w:type="dxa"/>
            <w:vAlign w:val="center"/>
          </w:tcPr>
          <w:p w14:paraId="4E28DC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立体库模块</w:t>
            </w:r>
          </w:p>
        </w:tc>
        <w:tc>
          <w:tcPr>
            <w:tcW w:w="4940" w:type="dxa"/>
            <w:vAlign w:val="center"/>
          </w:tcPr>
          <w:p w14:paraId="628A62F2">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立体模块由关节套件，气缸、光电传感器等组成，可配合搬运模块、旋转供料模块、装配模块完成多</w:t>
            </w:r>
          </w:p>
          <w:p w14:paraId="56B164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种教学任务。</w:t>
            </w:r>
          </w:p>
        </w:tc>
        <w:tc>
          <w:tcPr>
            <w:tcW w:w="1335" w:type="dxa"/>
            <w:vAlign w:val="center"/>
          </w:tcPr>
          <w:p w14:paraId="3D6399D2">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115"/>
                <w:sz w:val="24"/>
                <w:szCs w:val="24"/>
              </w:rPr>
              <w:drawing>
                <wp:inline distT="0" distB="0" distL="0" distR="0">
                  <wp:extent cx="920115" cy="1100455"/>
                  <wp:effectExtent l="0" t="0" r="3810" b="444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920115" cy="1100455"/>
                          </a:xfrm>
                          <a:prstGeom prst="rect">
                            <a:avLst/>
                          </a:prstGeom>
                        </pic:spPr>
                      </pic:pic>
                    </a:graphicData>
                  </a:graphic>
                </wp:inline>
              </w:drawing>
            </w:r>
          </w:p>
        </w:tc>
      </w:tr>
      <w:tr w14:paraId="60422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jc w:val="center"/>
        </w:trPr>
        <w:tc>
          <w:tcPr>
            <w:tcW w:w="1038" w:type="dxa"/>
            <w:vAlign w:val="center"/>
          </w:tcPr>
          <w:p w14:paraId="7BE298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13</w:t>
            </w:r>
          </w:p>
        </w:tc>
        <w:tc>
          <w:tcPr>
            <w:tcW w:w="1333" w:type="dxa"/>
            <w:vAlign w:val="center"/>
          </w:tcPr>
          <w:p w14:paraId="2DE091E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外围控制套件</w:t>
            </w:r>
          </w:p>
        </w:tc>
        <w:tc>
          <w:tcPr>
            <w:tcW w:w="4940" w:type="dxa"/>
            <w:vAlign w:val="center"/>
          </w:tcPr>
          <w:p w14:paraId="2F0BA7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外围控制套件包含油水分离器套件和三色警示灯</w:t>
            </w:r>
          </w:p>
        </w:tc>
        <w:tc>
          <w:tcPr>
            <w:tcW w:w="1335" w:type="dxa"/>
            <w:vAlign w:val="center"/>
          </w:tcPr>
          <w:p w14:paraId="3E27FCF5">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97"/>
                <w:sz w:val="24"/>
                <w:szCs w:val="24"/>
              </w:rPr>
              <w:drawing>
                <wp:inline distT="0" distB="0" distL="0" distR="0">
                  <wp:extent cx="847090" cy="730885"/>
                  <wp:effectExtent l="0" t="0" r="635" b="254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847090" cy="730885"/>
                          </a:xfrm>
                          <a:prstGeom prst="rect">
                            <a:avLst/>
                          </a:prstGeom>
                        </pic:spPr>
                      </pic:pic>
                    </a:graphicData>
                  </a:graphic>
                </wp:inline>
              </w:drawing>
            </w:r>
          </w:p>
        </w:tc>
      </w:tr>
      <w:tr w14:paraId="1FBC5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jc w:val="center"/>
        </w:trPr>
        <w:tc>
          <w:tcPr>
            <w:tcW w:w="1038" w:type="dxa"/>
            <w:vAlign w:val="center"/>
          </w:tcPr>
          <w:p w14:paraId="0406AF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14</w:t>
            </w:r>
          </w:p>
        </w:tc>
        <w:tc>
          <w:tcPr>
            <w:tcW w:w="1333" w:type="dxa"/>
            <w:vAlign w:val="center"/>
          </w:tcPr>
          <w:p w14:paraId="4269F9F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TCP</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标定工具</w:t>
            </w:r>
          </w:p>
        </w:tc>
        <w:tc>
          <w:tcPr>
            <w:tcW w:w="4940" w:type="dxa"/>
            <w:vAlign w:val="center"/>
          </w:tcPr>
          <w:p w14:paraId="60989B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用于末端法兰工具标定使用</w:t>
            </w:r>
          </w:p>
        </w:tc>
        <w:tc>
          <w:tcPr>
            <w:tcW w:w="1335" w:type="dxa"/>
            <w:vAlign w:val="center"/>
          </w:tcPr>
          <w:p w14:paraId="579E49E5">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8"/>
                <w:sz w:val="24"/>
                <w:szCs w:val="24"/>
              </w:rPr>
              <w:drawing>
                <wp:inline distT="0" distB="0" distL="0" distR="0">
                  <wp:extent cx="727075" cy="894080"/>
                  <wp:effectExtent l="0" t="0" r="6350" b="127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727075" cy="894080"/>
                          </a:xfrm>
                          <a:prstGeom prst="rect">
                            <a:avLst/>
                          </a:prstGeom>
                        </pic:spPr>
                      </pic:pic>
                    </a:graphicData>
                  </a:graphic>
                </wp:inline>
              </w:drawing>
            </w:r>
          </w:p>
        </w:tc>
      </w:tr>
      <w:tr w14:paraId="3B8F7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jc w:val="center"/>
        </w:trPr>
        <w:tc>
          <w:tcPr>
            <w:tcW w:w="1038" w:type="dxa"/>
            <w:vAlign w:val="center"/>
          </w:tcPr>
          <w:p w14:paraId="5AD4F80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15</w:t>
            </w:r>
          </w:p>
        </w:tc>
        <w:tc>
          <w:tcPr>
            <w:tcW w:w="1333" w:type="dxa"/>
            <w:vAlign w:val="center"/>
          </w:tcPr>
          <w:p w14:paraId="312200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主控系统</w:t>
            </w:r>
          </w:p>
        </w:tc>
        <w:tc>
          <w:tcPr>
            <w:tcW w:w="4940" w:type="dxa"/>
            <w:vAlign w:val="center"/>
          </w:tcPr>
          <w:p w14:paraId="37AC4A8B">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主控系统采用S7-1200</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系列</w:t>
            </w:r>
            <w:r>
              <w:rPr>
                <w:rFonts w:hint="eastAsia" w:ascii="仿宋" w:hAnsi="仿宋" w:eastAsia="仿宋" w:cs="仿宋"/>
                <w:spacing w:val="-43"/>
                <w:sz w:val="24"/>
                <w:szCs w:val="24"/>
              </w:rPr>
              <w:t xml:space="preserve"> </w:t>
            </w:r>
            <w:r>
              <w:rPr>
                <w:rFonts w:hint="eastAsia" w:ascii="仿宋" w:hAnsi="仿宋" w:eastAsia="仿宋" w:cs="仿宋"/>
                <w:sz w:val="24"/>
                <w:szCs w:val="24"/>
              </w:rPr>
              <w:t>PLC</w:t>
            </w:r>
            <w:r>
              <w:rPr>
                <w:rFonts w:hint="eastAsia" w:ascii="仿宋" w:hAnsi="仿宋" w:eastAsia="仿宋" w:cs="仿宋"/>
                <w:spacing w:val="1"/>
                <w:sz w:val="24"/>
                <w:szCs w:val="24"/>
              </w:rPr>
              <w:t>，使用博途</w:t>
            </w:r>
            <w:r>
              <w:rPr>
                <w:rFonts w:hint="eastAsia" w:ascii="仿宋" w:hAnsi="仿宋" w:eastAsia="仿宋" w:cs="仿宋"/>
                <w:sz w:val="24"/>
                <w:szCs w:val="24"/>
              </w:rPr>
              <w:t>软件进</w:t>
            </w:r>
          </w:p>
          <w:p w14:paraId="39144A7B">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行编程，通过工业以太网通信配合工业机器人完成</w:t>
            </w:r>
          </w:p>
          <w:p w14:paraId="1864053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外围控制任务。</w:t>
            </w:r>
          </w:p>
        </w:tc>
        <w:tc>
          <w:tcPr>
            <w:tcW w:w="1335" w:type="dxa"/>
            <w:vAlign w:val="center"/>
          </w:tcPr>
          <w:p w14:paraId="76C57F50">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68"/>
                <w:sz w:val="24"/>
                <w:szCs w:val="24"/>
              </w:rPr>
              <w:drawing>
                <wp:inline distT="0" distB="0" distL="0" distR="0">
                  <wp:extent cx="864235" cy="1057910"/>
                  <wp:effectExtent l="0" t="0" r="2540" b="889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864235" cy="1057910"/>
                          </a:xfrm>
                          <a:prstGeom prst="rect">
                            <a:avLst/>
                          </a:prstGeom>
                        </pic:spPr>
                      </pic:pic>
                    </a:graphicData>
                  </a:graphic>
                </wp:inline>
              </w:drawing>
            </w:r>
          </w:p>
        </w:tc>
      </w:tr>
      <w:tr w14:paraId="4DF8C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38" w:type="dxa"/>
            <w:vAlign w:val="center"/>
          </w:tcPr>
          <w:p w14:paraId="48130F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16</w:t>
            </w:r>
          </w:p>
        </w:tc>
        <w:tc>
          <w:tcPr>
            <w:tcW w:w="1333" w:type="dxa"/>
            <w:vAlign w:val="center"/>
          </w:tcPr>
          <w:p w14:paraId="1A7B37D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人机交互系统</w:t>
            </w:r>
          </w:p>
        </w:tc>
        <w:tc>
          <w:tcPr>
            <w:tcW w:w="4940" w:type="dxa"/>
            <w:vAlign w:val="center"/>
          </w:tcPr>
          <w:p w14:paraId="16B80331">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人机交互系统包含触摸屏和按钮指示灯，其中按钮</w:t>
            </w:r>
          </w:p>
          <w:p w14:paraId="481CFD46">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指示灯具有设备开关机，电源状态指示，设备急停</w:t>
            </w:r>
          </w:p>
          <w:p w14:paraId="1522ABF3">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4"/>
                <w:sz w:val="24"/>
                <w:szCs w:val="24"/>
              </w:rPr>
              <w:t>等功能，触摸屏选用西门子</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ktp900</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面板，用于设备</w:t>
            </w:r>
          </w:p>
          <w:p w14:paraId="03C70E9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的数据监控操作。</w:t>
            </w:r>
          </w:p>
        </w:tc>
        <w:tc>
          <w:tcPr>
            <w:tcW w:w="1335" w:type="dxa"/>
            <w:vAlign w:val="center"/>
          </w:tcPr>
          <w:p w14:paraId="3FA29C45">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1"/>
                <w:sz w:val="24"/>
                <w:szCs w:val="24"/>
              </w:rPr>
              <w:drawing>
                <wp:inline distT="0" distB="0" distL="0" distR="0">
                  <wp:extent cx="934720" cy="720725"/>
                  <wp:effectExtent l="0" t="0" r="8255" b="3175"/>
                  <wp:docPr id="13" name="IM 32"/>
                  <wp:cNvGraphicFramePr/>
                  <a:graphic xmlns:a="http://schemas.openxmlformats.org/drawingml/2006/main">
                    <a:graphicData uri="http://schemas.openxmlformats.org/drawingml/2006/picture">
                      <pic:pic xmlns:pic="http://schemas.openxmlformats.org/drawingml/2006/picture">
                        <pic:nvPicPr>
                          <pic:cNvPr id="13" name="IM 32"/>
                          <pic:cNvPicPr/>
                        </pic:nvPicPr>
                        <pic:blipFill>
                          <a:blip r:embed="rId19"/>
                          <a:stretch>
                            <a:fillRect/>
                          </a:stretch>
                        </pic:blipFill>
                        <pic:spPr>
                          <a:xfrm>
                            <a:off x="0" y="0"/>
                            <a:ext cx="934720" cy="720725"/>
                          </a:xfrm>
                          <a:prstGeom prst="rect">
                            <a:avLst/>
                          </a:prstGeom>
                        </pic:spPr>
                      </pic:pic>
                    </a:graphicData>
                  </a:graphic>
                </wp:inline>
              </w:drawing>
            </w:r>
          </w:p>
        </w:tc>
      </w:tr>
      <w:tr w14:paraId="3385A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jc w:val="center"/>
        </w:trPr>
        <w:tc>
          <w:tcPr>
            <w:tcW w:w="1038" w:type="dxa"/>
            <w:shd w:val="clear" w:color="auto" w:fill="auto"/>
            <w:vAlign w:val="center"/>
          </w:tcPr>
          <w:p w14:paraId="15469AF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10"/>
                <w:sz w:val="24"/>
                <w:szCs w:val="24"/>
              </w:rPr>
              <w:t>17</w:t>
            </w:r>
          </w:p>
        </w:tc>
        <w:tc>
          <w:tcPr>
            <w:tcW w:w="1333" w:type="dxa"/>
            <w:shd w:val="clear" w:color="auto" w:fill="auto"/>
            <w:vAlign w:val="center"/>
          </w:tcPr>
          <w:p w14:paraId="6B2495A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2"/>
                <w:sz w:val="24"/>
                <w:szCs w:val="24"/>
              </w:rPr>
              <w:t>离线编程软件</w:t>
            </w:r>
          </w:p>
        </w:tc>
        <w:tc>
          <w:tcPr>
            <w:tcW w:w="4940" w:type="dxa"/>
            <w:shd w:val="clear" w:color="auto" w:fill="auto"/>
            <w:vAlign w:val="center"/>
          </w:tcPr>
          <w:p w14:paraId="3D6C3290">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1"/>
                <w:sz w:val="24"/>
                <w:szCs w:val="24"/>
              </w:rPr>
              <w:t>通过曲面曲线特征来计算机器人运动轨迹，保证轨迹的精度要求；后置功能强大，生产过程的仿真验证等功能，更加高效的完成项目规划。支持设备数字孪生。正版全中文国产自主品牌软件，无国外任何产品内核，完全安全自主可控，license</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授权服务器在中国本土。提供特征捕捉功能，可快速捕捉点、线、面、圆心、坐标系等特征，并进行角度与距离的测量，同时可测量机器人点位之间的距离。用户可以自行创建并保存组件形成组件库，支持包</w:t>
            </w:r>
            <w:r>
              <w:rPr>
                <w:rFonts w:hint="eastAsia" w:ascii="仿宋" w:hAnsi="仿宋" w:eastAsia="仿宋" w:cs="仿宋"/>
                <w:spacing w:val="-2"/>
                <w:sz w:val="24"/>
                <w:szCs w:val="24"/>
              </w:rPr>
              <w:t>含：stp、step、igs、stl、dxf</w:t>
            </w:r>
            <w:r>
              <w:rPr>
                <w:rFonts w:hint="eastAsia" w:ascii="仿宋" w:hAnsi="仿宋" w:eastAsia="仿宋" w:cs="仿宋"/>
                <w:spacing w:val="-27"/>
                <w:sz w:val="24"/>
                <w:szCs w:val="24"/>
              </w:rPr>
              <w:t xml:space="preserve"> </w:t>
            </w:r>
            <w:r>
              <w:rPr>
                <w:rFonts w:hint="eastAsia" w:ascii="仿宋" w:hAnsi="仿宋" w:eastAsia="仿宋" w:cs="仿宋"/>
                <w:spacing w:val="-2"/>
                <w:sz w:val="24"/>
                <w:szCs w:val="24"/>
              </w:rPr>
              <w:t>等标准</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CAD</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文件格</w:t>
            </w:r>
            <w:r>
              <w:rPr>
                <w:rFonts w:hint="eastAsia" w:ascii="仿宋" w:hAnsi="仿宋" w:eastAsia="仿宋" w:cs="仿宋"/>
                <w:spacing w:val="-1"/>
                <w:sz w:val="24"/>
                <w:szCs w:val="24"/>
              </w:rPr>
              <w:t>式的文件导入，用户可自己建立独有的模型库。可对导入的模型进行拆分、合并、对齐，建立关节</w:t>
            </w:r>
            <w:r>
              <w:rPr>
                <w:rFonts w:hint="eastAsia" w:ascii="仿宋" w:hAnsi="仿宋" w:eastAsia="仿宋" w:cs="仿宋"/>
                <w:spacing w:val="-2"/>
                <w:sz w:val="24"/>
                <w:szCs w:val="24"/>
              </w:rPr>
              <w:t>轴，创建辅助坐标系，根据机器人图纸、DH</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参数自</w:t>
            </w:r>
            <w:r>
              <w:rPr>
                <w:rFonts w:hint="eastAsia" w:ascii="仿宋" w:hAnsi="仿宋" w:eastAsia="仿宋" w:cs="仿宋"/>
                <w:spacing w:val="-1"/>
                <w:sz w:val="24"/>
                <w:szCs w:val="24"/>
              </w:rPr>
              <w:t>定义创建串联、并联、混联结构机器人模型。支持串联、并联</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Delta</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及直角坐标系</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SCARA、协作</w:t>
            </w:r>
            <w:r>
              <w:rPr>
                <w:rFonts w:hint="eastAsia" w:ascii="仿宋" w:hAnsi="仿宋" w:eastAsia="仿宋" w:cs="仿宋"/>
                <w:sz w:val="24"/>
                <w:szCs w:val="24"/>
              </w:rPr>
              <w:t>机器人、喷涂等专用机器人与5</w:t>
            </w:r>
            <w:r>
              <w:rPr>
                <w:rFonts w:hint="eastAsia" w:ascii="仿宋" w:hAnsi="仿宋" w:eastAsia="仿宋" w:cs="仿宋"/>
                <w:spacing w:val="-33"/>
                <w:sz w:val="24"/>
                <w:szCs w:val="24"/>
              </w:rPr>
              <w:t xml:space="preserve"> </w:t>
            </w:r>
            <w:r>
              <w:rPr>
                <w:rFonts w:hint="eastAsia" w:ascii="仿宋" w:hAnsi="仿宋" w:eastAsia="仿宋" w:cs="仿宋"/>
                <w:sz w:val="24"/>
                <w:szCs w:val="24"/>
              </w:rPr>
              <w:t>轴-6</w:t>
            </w:r>
            <w:r>
              <w:rPr>
                <w:rFonts w:hint="eastAsia" w:ascii="仿宋" w:hAnsi="仿宋" w:eastAsia="仿宋" w:cs="仿宋"/>
                <w:spacing w:val="-41"/>
                <w:sz w:val="24"/>
                <w:szCs w:val="24"/>
              </w:rPr>
              <w:t xml:space="preserve"> </w:t>
            </w:r>
            <w:r>
              <w:rPr>
                <w:rFonts w:hint="eastAsia" w:ascii="仿宋" w:hAnsi="仿宋" w:eastAsia="仿宋" w:cs="仿宋"/>
                <w:sz w:val="24"/>
                <w:szCs w:val="24"/>
              </w:rPr>
              <w:t>轴机床等不同</w:t>
            </w:r>
            <w:r>
              <w:rPr>
                <w:rFonts w:hint="eastAsia" w:ascii="仿宋" w:hAnsi="仿宋" w:eastAsia="仿宋" w:cs="仿宋"/>
                <w:spacing w:val="-1"/>
                <w:sz w:val="24"/>
                <w:szCs w:val="24"/>
              </w:rPr>
              <w:t>结构类型的机器人及各种运动机构的仿真。支持各种外部轴耦合，通过固定位置、范围设定、和方向延伸等方式定义外部轴数据，可支持龙门多轴多达十几个轴的联动。支持</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XYZ</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结构立库上下料，活塞式气缸开合、</w:t>
            </w:r>
            <w:r>
              <w:rPr>
                <w:rFonts w:hint="eastAsia" w:ascii="仿宋" w:hAnsi="仿宋" w:eastAsia="仿宋" w:cs="仿宋"/>
                <w:spacing w:val="-2"/>
                <w:sz w:val="24"/>
                <w:szCs w:val="24"/>
              </w:rPr>
              <w:t>卡爪</w:t>
            </w:r>
            <w:r>
              <w:rPr>
                <w:rFonts w:hint="eastAsia" w:ascii="仿宋" w:hAnsi="仿宋" w:eastAsia="仿宋" w:cs="仿宋"/>
                <w:spacing w:val="-1"/>
                <w:sz w:val="24"/>
                <w:szCs w:val="24"/>
              </w:rPr>
              <w:t>物料抓取、机床开关门等建模。具备运动学正、逆解算法、可对工业机器人的可达性、轴超限、碰撞等进行检查对运动模型进行关节树形管理，可在三维场景内直接观察机器人关节父</w:t>
            </w:r>
            <w:r>
              <w:rPr>
                <w:rFonts w:hint="eastAsia" w:ascii="仿宋" w:hAnsi="仿宋" w:eastAsia="仿宋" w:cs="仿宋"/>
                <w:spacing w:val="-2"/>
                <w:sz w:val="24"/>
                <w:szCs w:val="24"/>
              </w:rPr>
              <w:t>子级关系。</w:t>
            </w:r>
            <w:r>
              <w:rPr>
                <w:rFonts w:hint="eastAsia" w:ascii="仿宋" w:hAnsi="仿宋" w:eastAsia="仿宋" w:cs="仿宋"/>
                <w:spacing w:val="-1"/>
                <w:sz w:val="24"/>
                <w:szCs w:val="24"/>
              </w:rPr>
              <w:t>可实时观察点位的位置和姿态，各运动关节的关节</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值，包括机器人关节，外部轴关节等。能拖动机器人末端进行平移和旋转，可在工件上捕</w:t>
            </w:r>
            <w:r>
              <w:rPr>
                <w:rFonts w:hint="eastAsia" w:ascii="仿宋" w:hAnsi="仿宋" w:eastAsia="仿宋" w:cs="仿宋"/>
                <w:spacing w:val="3"/>
                <w:sz w:val="24"/>
                <w:szCs w:val="24"/>
              </w:rPr>
              <w:t xml:space="preserve">  </w:t>
            </w:r>
            <w:r>
              <w:rPr>
                <w:rFonts w:hint="eastAsia" w:ascii="仿宋" w:hAnsi="仿宋" w:eastAsia="仿宋" w:cs="仿宋"/>
                <w:spacing w:val="-5"/>
                <w:sz w:val="24"/>
                <w:szCs w:val="24"/>
              </w:rPr>
              <w:t>捉特征点生成点位并仿真，也可在空间上增加点位。</w:t>
            </w:r>
          </w:p>
        </w:tc>
        <w:tc>
          <w:tcPr>
            <w:tcW w:w="1335" w:type="dxa"/>
            <w:vAlign w:val="center"/>
          </w:tcPr>
          <w:p w14:paraId="5F1C17FA">
            <w:pPr>
              <w:pStyle w:val="1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p>
        </w:tc>
      </w:tr>
    </w:tbl>
    <w:p w14:paraId="6BD7753A">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十、奖励措施</w:t>
      </w:r>
    </w:p>
    <w:p w14:paraId="3DF56C8F">
      <w:pPr>
        <w:pStyle w:val="10"/>
        <w:ind w:firstLine="480" w:firstLineChars="200"/>
        <w:rPr>
          <w:rFonts w:hint="default" w:ascii="仿宋" w:hAnsi="仿宋" w:eastAsia="仿宋" w:cs="仿宋"/>
          <w:color w:val="FF0000"/>
          <w:sz w:val="24"/>
          <w:szCs w:val="24"/>
          <w:highlight w:val="none"/>
          <w:lang w:val="en-US" w:eastAsia="zh-CN"/>
        </w:rPr>
      </w:pPr>
      <w:r>
        <w:rPr>
          <w:rFonts w:hint="default" w:ascii="仿宋" w:hAnsi="仿宋" w:eastAsia="仿宋" w:cs="仿宋"/>
          <w:color w:val="FF0000"/>
          <w:sz w:val="24"/>
          <w:szCs w:val="24"/>
          <w:highlight w:val="none"/>
          <w:lang w:val="en-US" w:eastAsia="zh-CN"/>
        </w:rPr>
        <w:t>学生赛设团队奖，教师赛设个人奖，获奖总名额不超过报名总量的50%。</w:t>
      </w:r>
    </w:p>
    <w:p w14:paraId="2219E286">
      <w:pPr>
        <w:pStyle w:val="10"/>
        <w:numPr>
          <w:ilvl w:val="0"/>
          <w:numId w:val="1"/>
        </w:numPr>
        <w:ind w:firstLine="480" w:firstLineChars="200"/>
        <w:rPr>
          <w:rFonts w:hint="default" w:ascii="仿宋" w:hAnsi="仿宋" w:eastAsia="仿宋" w:cs="仿宋"/>
          <w:color w:val="FF0000"/>
          <w:sz w:val="24"/>
          <w:szCs w:val="24"/>
          <w:highlight w:val="none"/>
          <w:lang w:val="en-US" w:eastAsia="zh-CN"/>
        </w:rPr>
      </w:pPr>
      <w:r>
        <w:rPr>
          <w:rFonts w:hint="default" w:ascii="仿宋" w:hAnsi="仿宋" w:eastAsia="仿宋" w:cs="仿宋"/>
          <w:color w:val="FF0000"/>
          <w:sz w:val="24"/>
          <w:szCs w:val="24"/>
          <w:highlight w:val="none"/>
          <w:lang w:val="en-US" w:eastAsia="zh-CN"/>
        </w:rPr>
        <w:t>学生团队或教师个人报名满10队（人）的，分设一、二、三等奖和优胜奖，各占5%、10%、15%、20%，小数点后四舍五入。</w:t>
      </w:r>
    </w:p>
    <w:p w14:paraId="0E19C6C0">
      <w:pPr>
        <w:pStyle w:val="10"/>
        <w:numPr>
          <w:ilvl w:val="0"/>
          <w:numId w:val="0"/>
        </w:numPr>
        <w:ind w:firstLine="480" w:firstLineChars="200"/>
        <w:rPr>
          <w:rFonts w:hint="default" w:ascii="仿宋" w:hAnsi="仿宋" w:eastAsia="仿宋" w:cs="仿宋"/>
          <w:color w:val="FF0000"/>
          <w:sz w:val="24"/>
          <w:szCs w:val="24"/>
          <w:highlight w:val="none"/>
          <w:lang w:val="en-US" w:eastAsia="zh-CN"/>
        </w:rPr>
      </w:pPr>
      <w:r>
        <w:rPr>
          <w:rFonts w:hint="default" w:ascii="仿宋" w:hAnsi="仿宋" w:eastAsia="仿宋" w:cs="仿宋"/>
          <w:color w:val="FF0000"/>
          <w:sz w:val="24"/>
          <w:szCs w:val="24"/>
          <w:highlight w:val="none"/>
          <w:lang w:val="en-US" w:eastAsia="zh-CN"/>
        </w:rPr>
        <w:t>2.学生团队或教师个人报名不足10个队（人）的，设一、二、三等奖各1个，50%限额内剩余名额可增设优胜奖。学生团队一、二等奖指导教师获优秀指导教师证书。</w:t>
      </w:r>
    </w:p>
    <w:p w14:paraId="0250491B">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十一、大赛流程</w:t>
      </w:r>
    </w:p>
    <w:p w14:paraId="4EBCF2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在规定时间内携带参赛报名表，身份证、保险单到指定地点进行签到，领取赛项指南、胸牌等物品。</w:t>
      </w:r>
    </w:p>
    <w:p w14:paraId="5C0934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lang w:val="en-US" w:eastAsia="zh-CN"/>
        </w:rPr>
        <w:t>佩戴胸牌抽取实际操作竞赛场次签。</w:t>
      </w:r>
    </w:p>
    <w:p w14:paraId="2A2D5C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3.</w:t>
      </w:r>
      <w:r>
        <w:rPr>
          <w:rFonts w:hint="eastAsia" w:ascii="仿宋" w:hAnsi="仿宋" w:eastAsia="仿宋" w:cs="仿宋"/>
          <w:sz w:val="24"/>
          <w:szCs w:val="24"/>
          <w:lang w:val="en-US" w:eastAsia="zh-CN"/>
        </w:rPr>
        <w:t>实际操作竞赛进场前，进行检录，由检录工作人员依照检录表进行身份核对，确认工具无违禁物品后抽取工位号，并签字确认。</w:t>
      </w:r>
    </w:p>
    <w:p w14:paraId="047DA2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4.参赛选手凭证件进入赛场，现场工作人员负责引导参赛队伍至机位前等待竞赛。比赛开始前，在没有裁判允许的情况下，严禁触碰竞赛设施和阅读赛卷内容。比赛中途不得离开赛场。</w:t>
      </w:r>
    </w:p>
    <w:p w14:paraId="701690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5.</w:t>
      </w:r>
      <w:r>
        <w:rPr>
          <w:rFonts w:hint="eastAsia" w:ascii="仿宋" w:hAnsi="仿宋" w:eastAsia="仿宋" w:cs="仿宋"/>
          <w:sz w:val="24"/>
          <w:szCs w:val="24"/>
          <w:lang w:val="en-US" w:eastAsia="zh-CN"/>
        </w:rPr>
        <w:t>裁判长宣布比赛开始，参赛选手开始进行操作，比赛开始计时</w:t>
      </w:r>
    </w:p>
    <w:p w14:paraId="486D67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6.</w:t>
      </w:r>
      <w:r>
        <w:rPr>
          <w:rFonts w:hint="eastAsia" w:ascii="仿宋" w:hAnsi="仿宋" w:eastAsia="仿宋" w:cs="仿宋"/>
          <w:sz w:val="24"/>
          <w:szCs w:val="24"/>
          <w:lang w:val="en-US" w:eastAsia="zh-CN"/>
        </w:rPr>
        <w:t>竞赛过程中，如遇设备或软件等故障，参赛选手应及时举手示意。现场裁判，技术人员等应及时予以解决。确因计算机软件或硬件故障，致使操作无法继续的，经现场工作人员同意，予以启用设备。如属于设备故障，补时时间为从选手示意到故障处理结束这段时间，否则不予补时。如遇身体不适，参赛选手应及时示意，现场医务人员按应急预案救治。如有其它问题，参赛选手应举手示意裁判，裁判应按照有关要求及时予以答疑。</w:t>
      </w:r>
    </w:p>
    <w:p w14:paraId="4B85EB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7.实操</w:t>
      </w:r>
      <w:r>
        <w:rPr>
          <w:rFonts w:hint="eastAsia" w:ascii="仿宋" w:hAnsi="仿宋" w:eastAsia="仿宋" w:cs="仿宋"/>
          <w:sz w:val="24"/>
          <w:szCs w:val="24"/>
          <w:lang w:val="en-US" w:eastAsia="zh-CN"/>
        </w:rPr>
        <w:t>比赛结束前15分钟，裁判长进行提醒。比赛结束后，当场签字确认比赛成绩，若无异议则有序离开赛场，本赛项成绩正式生效.对成绩有异议者在当场比</w:t>
      </w:r>
      <w:r>
        <w:rPr>
          <w:rFonts w:hint="eastAsia" w:ascii="仿宋" w:hAnsi="仿宋" w:eastAsia="仿宋" w:cs="仿宋"/>
          <w:sz w:val="24"/>
          <w:szCs w:val="24"/>
          <w:highlight w:val="none"/>
          <w:lang w:val="en-US" w:eastAsia="zh-CN"/>
        </w:rPr>
        <w:t>赛结束2小时内</w:t>
      </w:r>
      <w:r>
        <w:rPr>
          <w:rFonts w:hint="eastAsia" w:ascii="仿宋" w:hAnsi="仿宋" w:eastAsia="仿宋" w:cs="仿宋"/>
          <w:sz w:val="24"/>
          <w:szCs w:val="24"/>
          <w:lang w:val="en-US" w:eastAsia="zh-CN"/>
        </w:rPr>
        <w:t>提交书面申诉。</w:t>
      </w:r>
    </w:p>
    <w:p w14:paraId="4D8AB8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8.</w:t>
      </w:r>
      <w:r>
        <w:rPr>
          <w:rFonts w:hint="eastAsia" w:ascii="仿宋" w:hAnsi="仿宋" w:eastAsia="仿宋" w:cs="仿宋"/>
          <w:sz w:val="24"/>
          <w:szCs w:val="24"/>
          <w:lang w:val="en-US" w:eastAsia="zh-CN"/>
        </w:rPr>
        <w:t>申诉与仲裁</w:t>
      </w:r>
    </w:p>
    <w:p w14:paraId="06B61411">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赛项在比赛过程中若出现有失公正或有关人员违规等现象，参赛队领队可在当场比赛结束后1小时之内向大赛组委会提出书面申诉。口头报告或其他人员要求解释处理，组委会不予受理。书面申诉应对申诉事件的现象，发生时间，涉及人员，申诉依据等进行充分，实事求是的叙述，并由领队亲笔签名。非书面申诉不予受理。大赛组委会在收到申诉报告后的2小时内组织裁判团队复议，并及时将复议结果告知申诉方。申诉方可随时提出放弃申诉。</w:t>
      </w:r>
    </w:p>
    <w:p w14:paraId="42F5ADF1">
      <w:pPr>
        <w:pageBreakBefore w:val="0"/>
        <w:numPr>
          <w:ilvl w:val="0"/>
          <w:numId w:val="0"/>
        </w:numPr>
        <w:kinsoku/>
        <w:wordWrap/>
        <w:overflowPunct/>
        <w:topLinePunct w:val="0"/>
        <w:bidi w:val="0"/>
        <w:spacing w:line="240" w:lineRule="auto"/>
        <w:ind w:left="0" w:leftChars="0" w:firstLine="0" w:firstLineChars="0"/>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十二、大赛日程</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2782"/>
        <w:gridCol w:w="1178"/>
        <w:gridCol w:w="2783"/>
      </w:tblGrid>
      <w:tr w14:paraId="4CC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6" w:type="dxa"/>
            <w:vAlign w:val="center"/>
          </w:tcPr>
          <w:p w14:paraId="6EDD32A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15：00-15：30</w:t>
            </w:r>
          </w:p>
        </w:tc>
        <w:tc>
          <w:tcPr>
            <w:tcW w:w="2782" w:type="dxa"/>
            <w:vAlign w:val="center"/>
          </w:tcPr>
          <w:p w14:paraId="3DC46A2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1178" w:type="dxa"/>
            <w:vAlign w:val="center"/>
          </w:tcPr>
          <w:p w14:paraId="2870B304">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vAlign w:val="center"/>
          </w:tcPr>
          <w:p w14:paraId="1541701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0722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3AE6131A">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15：30-17：00</w:t>
            </w:r>
          </w:p>
        </w:tc>
        <w:tc>
          <w:tcPr>
            <w:tcW w:w="2782" w:type="dxa"/>
            <w:shd w:val="clear" w:color="auto" w:fill="auto"/>
            <w:vAlign w:val="center"/>
          </w:tcPr>
          <w:p w14:paraId="7A2655BA">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实操正式比赛（三）</w:t>
            </w:r>
          </w:p>
        </w:tc>
        <w:tc>
          <w:tcPr>
            <w:tcW w:w="1178" w:type="dxa"/>
            <w:shd w:val="clear" w:color="auto" w:fill="auto"/>
            <w:vAlign w:val="center"/>
          </w:tcPr>
          <w:p w14:paraId="6AE83B3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3275A3C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73C9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5791473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17：00-18：30</w:t>
            </w:r>
          </w:p>
        </w:tc>
        <w:tc>
          <w:tcPr>
            <w:tcW w:w="2782" w:type="dxa"/>
            <w:shd w:val="clear" w:color="auto" w:fill="auto"/>
            <w:vAlign w:val="center"/>
          </w:tcPr>
          <w:p w14:paraId="15F8EAD0">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default"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1178" w:type="dxa"/>
            <w:shd w:val="clear" w:color="auto" w:fill="auto"/>
            <w:vAlign w:val="center"/>
          </w:tcPr>
          <w:p w14:paraId="35A2268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07830A6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79C9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6361B47B">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default"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18：30-19：00</w:t>
            </w:r>
          </w:p>
        </w:tc>
        <w:tc>
          <w:tcPr>
            <w:tcW w:w="2782" w:type="dxa"/>
            <w:shd w:val="clear" w:color="auto" w:fill="auto"/>
            <w:vAlign w:val="center"/>
          </w:tcPr>
          <w:p w14:paraId="25BBFEC0">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1178" w:type="dxa"/>
            <w:shd w:val="clear" w:color="auto" w:fill="auto"/>
            <w:vAlign w:val="center"/>
          </w:tcPr>
          <w:p w14:paraId="3681C4B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1C17126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r w14:paraId="68F3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6C9A0E65">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18：3</w:t>
            </w:r>
            <w:bookmarkStart w:id="0" w:name="_GoBack"/>
            <w:bookmarkEnd w:id="0"/>
            <w:r>
              <w:rPr>
                <w:rFonts w:hint="eastAsia" w:ascii="仿宋" w:hAnsi="仿宋" w:eastAsia="仿宋" w:cs="仿宋"/>
                <w:b w:val="0"/>
                <w:bCs w:val="0"/>
                <w:color w:val="FF0000"/>
                <w:sz w:val="24"/>
                <w:szCs w:val="24"/>
                <w:vertAlign w:val="baseline"/>
                <w:lang w:val="en-US" w:eastAsia="zh-CN"/>
                <w14:ligatures w14:val="standardContextual"/>
              </w:rPr>
              <w:t>0-19：00</w:t>
            </w:r>
          </w:p>
        </w:tc>
        <w:tc>
          <w:tcPr>
            <w:tcW w:w="2782" w:type="dxa"/>
            <w:shd w:val="clear" w:color="auto" w:fill="auto"/>
            <w:vAlign w:val="center"/>
          </w:tcPr>
          <w:p w14:paraId="641B3F1F">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1178" w:type="dxa"/>
            <w:shd w:val="clear" w:color="auto" w:fill="auto"/>
            <w:vAlign w:val="center"/>
          </w:tcPr>
          <w:p w14:paraId="2133E58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59284184">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6049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379B875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19：00-20：30</w:t>
            </w:r>
          </w:p>
        </w:tc>
        <w:tc>
          <w:tcPr>
            <w:tcW w:w="2782" w:type="dxa"/>
            <w:shd w:val="clear" w:color="auto" w:fill="auto"/>
            <w:vAlign w:val="center"/>
          </w:tcPr>
          <w:p w14:paraId="2010FF90">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实操正式比赛（四）</w:t>
            </w:r>
          </w:p>
        </w:tc>
        <w:tc>
          <w:tcPr>
            <w:tcW w:w="1178" w:type="dxa"/>
            <w:shd w:val="clear" w:color="auto" w:fill="auto"/>
            <w:vAlign w:val="center"/>
          </w:tcPr>
          <w:p w14:paraId="42B4742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5332986D">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7D58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10CBC68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20：30-21：00</w:t>
            </w:r>
          </w:p>
        </w:tc>
        <w:tc>
          <w:tcPr>
            <w:tcW w:w="2782" w:type="dxa"/>
            <w:shd w:val="clear" w:color="auto" w:fill="auto"/>
            <w:vAlign w:val="center"/>
          </w:tcPr>
          <w:p w14:paraId="1A43D09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1178" w:type="dxa"/>
            <w:shd w:val="clear" w:color="auto" w:fill="auto"/>
            <w:vAlign w:val="center"/>
          </w:tcPr>
          <w:p w14:paraId="2D6D570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49CCAB4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536E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76" w:type="dxa"/>
            <w:shd w:val="clear" w:color="auto" w:fill="auto"/>
            <w:vAlign w:val="center"/>
          </w:tcPr>
          <w:p w14:paraId="21C53C72">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21：00-21：30</w:t>
            </w:r>
          </w:p>
        </w:tc>
        <w:tc>
          <w:tcPr>
            <w:tcW w:w="2782" w:type="dxa"/>
            <w:shd w:val="clear" w:color="auto" w:fill="auto"/>
            <w:vAlign w:val="center"/>
          </w:tcPr>
          <w:p w14:paraId="32475E24">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1178" w:type="dxa"/>
            <w:shd w:val="clear" w:color="auto" w:fill="auto"/>
            <w:vAlign w:val="center"/>
          </w:tcPr>
          <w:p w14:paraId="73409406">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2783" w:type="dxa"/>
            <w:shd w:val="clear" w:color="auto" w:fill="auto"/>
            <w:vAlign w:val="center"/>
          </w:tcPr>
          <w:p w14:paraId="10DBF9BA">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bl>
    <w:p w14:paraId="35DCCC66">
      <w:pPr>
        <w:pStyle w:val="10"/>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具体情况根据参赛队伍数量进行调整。</w:t>
      </w:r>
    </w:p>
    <w:p w14:paraId="3092E9C9">
      <w:pPr>
        <w:pStyle w:val="10"/>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十三、大赛监督与仲裁管理</w:t>
      </w:r>
    </w:p>
    <w:p w14:paraId="10B91174">
      <w:pPr>
        <w:pStyle w:val="10"/>
        <w:pageBreakBefore w:val="0"/>
        <w:numPr>
          <w:ilvl w:val="0"/>
          <w:numId w:val="0"/>
        </w:numPr>
        <w:kinsoku/>
        <w:wordWrap/>
        <w:overflowPunct/>
        <w:topLinePunct w:val="0"/>
        <w:bidi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（一）</w:t>
      </w:r>
      <w:r>
        <w:rPr>
          <w:rFonts w:hint="default" w:ascii="仿宋" w:hAnsi="仿宋" w:eastAsia="仿宋" w:cs="仿宋"/>
          <w:sz w:val="24"/>
          <w:szCs w:val="24"/>
          <w:lang w:val="en-US" w:eastAsia="zh-CN"/>
        </w:rPr>
        <w:t>大赛监督</w:t>
      </w:r>
    </w:p>
    <w:p w14:paraId="1E4C461A">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监督组在大赛办公室领导下，负责对大赛筹备与组织工作实施全程现场监督。</w:t>
      </w:r>
    </w:p>
    <w:p w14:paraId="31E1733C">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监督组的监督内容包括大赛场地和设施的部署、选手抽签、裁判培训、大赛组织、成绩评判及汇总、成绩发布、申诉仲裁、成绩复核等。</w:t>
      </w:r>
    </w:p>
    <w:p w14:paraId="05BD1DA1">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监督组对比赛过程中明显违规现象，应及时向大赛办公室提出改正建议，同时采取必要技术手段，留取监督的过程资料。比赛结束后，向大赛组委会提报监督工作报告。</w:t>
      </w:r>
    </w:p>
    <w:p w14:paraId="7DC2736A">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监督组不参与具体的赛事组织活动。</w:t>
      </w:r>
    </w:p>
    <w:p w14:paraId="0169ED98">
      <w:pPr>
        <w:pStyle w:val="10"/>
        <w:pageBreakBefore w:val="0"/>
        <w:numPr>
          <w:ilvl w:val="0"/>
          <w:numId w:val="0"/>
        </w:numPr>
        <w:kinsoku/>
        <w:wordWrap/>
        <w:overflowPunct/>
        <w:topLinePunct w:val="0"/>
        <w:bidi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w:t>
      </w:r>
      <w:r>
        <w:rPr>
          <w:rFonts w:hint="default" w:ascii="仿宋" w:hAnsi="仿宋" w:eastAsia="仿宋" w:cs="仿宋"/>
          <w:sz w:val="24"/>
          <w:szCs w:val="24"/>
          <w:lang w:val="en-US" w:eastAsia="zh-CN"/>
        </w:rPr>
        <w:t>申诉与仲裁</w:t>
      </w:r>
    </w:p>
    <w:p w14:paraId="3307BB39">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各参赛选手对不符合大赛规程规定的仪器、设备、工装、材料、物件、计算机软硬件、大赛使用工具、用品，大赛执裁、赛场管理、比赛成绩，以及工作人员的不规范行为等，可向大赛仲裁组提出申诉。</w:t>
      </w:r>
    </w:p>
    <w:p w14:paraId="693A26C1">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申诉主体为参赛选手。</w:t>
      </w:r>
    </w:p>
    <w:p w14:paraId="1A229CB5">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申诉启动时，参赛选手以亲笔签字的书面报告的形式递交大赛仲裁组。报告应对申诉事件的现象、发生时间、涉及人员、申诉依据等进行充分、实事求是的叙述。非书面申诉不予受理。</w:t>
      </w:r>
    </w:p>
    <w:p w14:paraId="76F06E35">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提出申诉应在比赛结束后不超过</w:t>
      </w: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小时内提出。超过时效不予受理。</w:t>
      </w:r>
    </w:p>
    <w:p w14:paraId="05C044A1">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default" w:ascii="仿宋" w:hAnsi="仿宋" w:eastAsia="仿宋" w:cs="仿宋"/>
          <w:sz w:val="24"/>
          <w:szCs w:val="24"/>
          <w:lang w:val="en-US" w:eastAsia="zh-CN"/>
        </w:rPr>
        <w:t>大赛仲裁工作组在接到申诉报告后的</w:t>
      </w: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小时内组织复议，并及时将复议结果以书面形式告知申诉方。大赛办公室的仲裁结果为最终结果。</w:t>
      </w:r>
    </w:p>
    <w:p w14:paraId="5D17D53D">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default" w:ascii="仿宋" w:hAnsi="仿宋" w:eastAsia="仿宋" w:cs="仿宋"/>
          <w:sz w:val="24"/>
          <w:szCs w:val="24"/>
          <w:lang w:val="en-US" w:eastAsia="zh-CN"/>
        </w:rPr>
        <w:t>申诉方不得以任何理由拒绝接收仲裁结果；不得以任何理由采取过激行为扰乱赛场秩序；仲裁结果由申诉人签收，不能代收；如在约定时间和地点申诉人离开，视为自行放弃申诉。</w:t>
      </w:r>
    </w:p>
    <w:p w14:paraId="28402E38">
      <w:pPr>
        <w:pStyle w:val="10"/>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r>
        <w:rPr>
          <w:rFonts w:hint="default" w:ascii="仿宋" w:hAnsi="仿宋" w:eastAsia="仿宋" w:cs="仿宋"/>
          <w:sz w:val="24"/>
          <w:szCs w:val="24"/>
          <w:lang w:val="en-US" w:eastAsia="zh-CN"/>
        </w:rPr>
        <w:t>申诉方可随时提出放弃申诉。</w:t>
      </w:r>
    </w:p>
    <w:p w14:paraId="0BC7858A">
      <w:pPr>
        <w:pStyle w:val="10"/>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十四、裁判要求</w:t>
      </w:r>
    </w:p>
    <w:p w14:paraId="57656588">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1.具有良好的职业道德和心理素质，严守竞赛纪律，服从组织安排，责任心强；</w:t>
      </w:r>
    </w:p>
    <w:p w14:paraId="462FCD35">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2.裁判员须从事工业机器人、智能制造专业（职业）等相关工作2年以上（含2年），具备深厚的专业理论知识和较高的实践技能水平，具有省级或行业职业技能竞赛执裁经验；</w:t>
      </w:r>
    </w:p>
    <w:p w14:paraId="0637D48F">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3.有较强的组织协调能力和临场应变能力；</w:t>
      </w:r>
    </w:p>
    <w:p w14:paraId="2CD5B06F">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4.年龄不超过60周岁，身体健康，无任何违法违纪记录，且获得工作单位支持，能在规定时间内到岗，并按要求完成指定裁判工作。</w:t>
      </w:r>
    </w:p>
    <w:p w14:paraId="72D69B70">
      <w:pPr>
        <w:pStyle w:val="10"/>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十五、裁判纪律</w:t>
      </w:r>
    </w:p>
    <w:p w14:paraId="5CA79840">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1.裁判员应服从裁判长的管理，裁判员的工作由裁判长指派决定。</w:t>
      </w:r>
    </w:p>
    <w:p w14:paraId="6BA1EBFA">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2.裁判员应坚守岗位，不迟到、早退，严格遵守执裁时间安排，保证执裁工作正常进行。</w:t>
      </w:r>
    </w:p>
    <w:p w14:paraId="03E18D7F">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3.裁判员不得将裁判证件、服装等借给他人使用。</w:t>
      </w:r>
    </w:p>
    <w:p w14:paraId="043D22E4">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4.裁判员要公平并公正对待每一位参赛选手。</w:t>
      </w:r>
    </w:p>
    <w:p w14:paraId="7241B307">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5.裁判员在工作期间不得使用手机、照相机、录像机等设备。</w:t>
      </w:r>
    </w:p>
    <w:p w14:paraId="0D4883CB">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6.比赛结束后裁判员要告知选手停止操作。监督选手有序离开机位。</w:t>
      </w:r>
    </w:p>
    <w:p w14:paraId="14181ABB">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7.比赛期间，除裁判外任何人员不得主动接近选手及其工作区域，不许主动与选手接触与交流，除非选手举手示意需要解决比赛中出现的问题。</w:t>
      </w:r>
    </w:p>
    <w:p w14:paraId="1A5095F0">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8.记录选手比赛时间：包括记录选手比赛期间发生的事件，如元件损坏等。</w:t>
      </w:r>
    </w:p>
    <w:p w14:paraId="69724462">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9.实操评分时除允许当值评分裁判员和被测评选手在比赛工位内，其他选手和人员不得进入比赛工位或围观。</w:t>
      </w:r>
    </w:p>
    <w:p w14:paraId="3FD4E7A5">
      <w:pPr>
        <w:pStyle w:val="10"/>
        <w:keepNext w:val="0"/>
        <w:keepLines w:val="0"/>
        <w:pageBreakBefore w:val="0"/>
        <w:widowControl w:val="0"/>
        <w:kinsoku/>
        <w:wordWrap/>
        <w:overflowPunct/>
        <w:topLinePunct w:val="0"/>
        <w:bidi w:val="0"/>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严禁徇私舞弊、擅自更改评分或泄露比赛信息</w:t>
      </w:r>
    </w:p>
    <w:p w14:paraId="6176CB4E">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十六、选手纪律</w:t>
      </w:r>
    </w:p>
    <w:p w14:paraId="7ECAE1A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1.选手在熟悉设备前通过抽签决定竞赛顺序和比赛工位。</w:t>
      </w:r>
    </w:p>
    <w:p w14:paraId="5BED41D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2.比赛开始前选手在各自工位内熟悉设备，检查所配工具，熟悉编程设备和可编程控制器。</w:t>
      </w:r>
    </w:p>
    <w:p w14:paraId="577EAB7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3.比赛期间根据比赛任务要求完成相关工作。</w:t>
      </w:r>
    </w:p>
    <w:p w14:paraId="3B61917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4.比赛日内选手比赛用试题、草稿纸以及赛场提供的物品、资料一律不准带离比赛工位。</w:t>
      </w:r>
    </w:p>
    <w:p w14:paraId="01BFB03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5.选手禁止将电子设备带入比赛工位，禁止比赛时使用手机、照相机、录像机等设备，禁止携带和使用自带的任何存储设备。</w:t>
      </w:r>
    </w:p>
    <w:p w14:paraId="38462F4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6.选手在拿到竞赛试题后，有5分钟的时间在竞赛工位内看试题。</w:t>
      </w:r>
    </w:p>
    <w:p w14:paraId="6642F28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7.比赛时，除裁判长和现场裁判外任何人员不得主动接近选手及其工作区域，选手有问题只能向裁判长和现场裁判反映。</w:t>
      </w:r>
    </w:p>
    <w:p w14:paraId="1FC4786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8.比赛结束哨声响起以后，选手应立即停止工作，并将比赛试题放在工作台上，走出自己的工位。</w:t>
      </w:r>
    </w:p>
    <w:p w14:paraId="19D1DE6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9.未经裁判长允许，选手不得延长比赛时间。</w:t>
      </w:r>
    </w:p>
    <w:p w14:paraId="6884C51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10.参赛选手只允许在自己的工位内工作。</w:t>
      </w:r>
    </w:p>
    <w:p w14:paraId="0D3EE43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11.参赛选手只允许使用自己工位上的设备、配套的工具等，除裁判长同意才可向他人借用。</w:t>
      </w:r>
    </w:p>
    <w:p w14:paraId="2D1B0A0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12.参赛选手在完成自己比赛题目后，举手示意现场裁判进行任务评判，评判完成后和现场裁判确认比赛耗时并签字。</w:t>
      </w:r>
    </w:p>
    <w:p w14:paraId="107B13F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13.在比赛期间参赛选手不准离开比赛工位，如果有特殊重要原因，必须通知现场裁判并在事件记录表中签字。</w:t>
      </w:r>
    </w:p>
    <w:p w14:paraId="5A03800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在竞赛过程中如发现问题（如设备故障等），选手应立即向现场裁判反映。得到同意后，选手退出到工作区域外等候，等待故障处理完后方可继续比赛。如属于设备故障，补时时间为从选手示意到故障处理结束这段时间，否则不予补时。</w:t>
      </w:r>
    </w:p>
    <w:p w14:paraId="374BBC8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15.参赛选手严禁使用任何事先准备好的程序，一经发现取消比赛资格。</w:t>
      </w:r>
    </w:p>
    <w:p w14:paraId="720B52D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16.评分期间，选手按裁判人员的指令要求操作设备，不允许更改，调整比赛设备及相关控制程序。</w:t>
      </w:r>
    </w:p>
    <w:p w14:paraId="38FB24C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17.违规选手一经发现，由裁判员提出警告，并报告裁判长。由裁判长按照评分表要求扣分，直至取消竞赛资格。</w:t>
      </w:r>
    </w:p>
    <w:p w14:paraId="3EBB401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18.参赛选手应严格遵守设备安全操作规程。</w:t>
      </w:r>
    </w:p>
    <w:p w14:paraId="16C3494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19.参赛选手停止操作时，应保证设备的正常运行，比赛结束后，所有设备保持运行状态，不要拆、动硬件连接，确保设备正常运行。</w:t>
      </w:r>
    </w:p>
    <w:p w14:paraId="3039632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20.参赛选手应遵从安全规范操作。</w:t>
      </w:r>
    </w:p>
    <w:p w14:paraId="70270CB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21.参赛选手应保证设备和信息完整及安全。</w:t>
      </w:r>
    </w:p>
    <w:p w14:paraId="1B16E825">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十七、现场工作人员及技术保障人员工作纪律</w:t>
      </w:r>
    </w:p>
    <w:p w14:paraId="46A7482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1.工作人员要听从组委会及竞赛现场指挥负责人安排，对负责的工作要高度负责、严肃认真。</w:t>
      </w:r>
    </w:p>
    <w:p w14:paraId="3BC6119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2.应熟悉竞赛规程，认真执行竞赛规则，严格工作程序，按照规定办事。</w:t>
      </w:r>
    </w:p>
    <w:p w14:paraId="78F1970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3.遵守竞赛纪律和岗位职责，团结互助，服务大局。</w:t>
      </w:r>
    </w:p>
    <w:p w14:paraId="726FDF7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4.现场工作人员及技术保障人员只能在得到指令后进入赛场完成规定的工作任务。</w:t>
      </w:r>
    </w:p>
    <w:p w14:paraId="07377FC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5.现场工作人员及技术保障人员不得主动和选手、裁判进行交流。</w:t>
      </w:r>
    </w:p>
    <w:p w14:paraId="4769155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6.现场工作人员及技术保障人员不得将手机、相机等电子设备带入赛场，不得在赛场内拍照、摄像。</w:t>
      </w:r>
    </w:p>
    <w:p w14:paraId="77A8BD15">
      <w:r>
        <w:br w:type="page"/>
      </w:r>
    </w:p>
    <w:p w14:paraId="7EE8F377">
      <w:pPr>
        <w:jc w:val="center"/>
        <w:rPr>
          <w:rFonts w:hint="eastAsia"/>
          <w:sz w:val="44"/>
          <w:szCs w:val="52"/>
        </w:rPr>
      </w:pPr>
      <w:r>
        <w:rPr>
          <w:rFonts w:hint="eastAsia"/>
          <w:sz w:val="44"/>
          <w:szCs w:val="52"/>
        </w:rPr>
        <w:t>2026年唐山市中等职业学校技能竞赛</w:t>
      </w:r>
    </w:p>
    <w:p w14:paraId="31C1BCA1">
      <w:pPr>
        <w:jc w:val="center"/>
        <w:rPr>
          <w:rFonts w:hint="eastAsia"/>
          <w:sz w:val="44"/>
          <w:szCs w:val="52"/>
        </w:rPr>
      </w:pPr>
      <w:r>
        <w:rPr>
          <w:rFonts w:hint="eastAsia"/>
          <w:sz w:val="44"/>
          <w:szCs w:val="52"/>
        </w:rPr>
        <w:t>工业机器人安装与编程赛项</w:t>
      </w:r>
    </w:p>
    <w:tbl>
      <w:tblPr>
        <w:tblStyle w:val="13"/>
        <w:tblpPr w:leftFromText="180" w:rightFromText="180" w:vertAnchor="page" w:horzAnchor="page" w:tblpXSpec="center" w:tblpY="7427"/>
        <w:tblOverlap w:val="never"/>
        <w:tblW w:w="66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9"/>
        <w:gridCol w:w="4651"/>
        <w:gridCol w:w="1022"/>
      </w:tblGrid>
      <w:tr w14:paraId="5AFE8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019" w:type="dxa"/>
            <w:vAlign w:val="center"/>
          </w:tcPr>
          <w:p w14:paraId="55BDFE6B">
            <w:pPr>
              <w:pStyle w:val="14"/>
              <w:jc w:val="center"/>
              <w:rPr>
                <w:rFonts w:hint="eastAsia"/>
                <w:sz w:val="21"/>
                <w:szCs w:val="21"/>
              </w:rPr>
            </w:pPr>
            <w:r>
              <w:rPr>
                <w:spacing w:val="-3"/>
                <w:sz w:val="21"/>
                <w:szCs w:val="21"/>
              </w:rPr>
              <w:t>序号</w:t>
            </w:r>
          </w:p>
        </w:tc>
        <w:tc>
          <w:tcPr>
            <w:tcW w:w="4651" w:type="dxa"/>
            <w:vAlign w:val="center"/>
          </w:tcPr>
          <w:p w14:paraId="74D6227D">
            <w:pPr>
              <w:pStyle w:val="14"/>
              <w:jc w:val="center"/>
              <w:rPr>
                <w:rFonts w:hint="eastAsia"/>
                <w:sz w:val="21"/>
                <w:szCs w:val="21"/>
              </w:rPr>
            </w:pPr>
            <w:r>
              <w:rPr>
                <w:spacing w:val="-3"/>
                <w:sz w:val="21"/>
                <w:szCs w:val="21"/>
              </w:rPr>
              <w:t>名称</w:t>
            </w:r>
          </w:p>
        </w:tc>
        <w:tc>
          <w:tcPr>
            <w:tcW w:w="1022" w:type="dxa"/>
            <w:vAlign w:val="center"/>
          </w:tcPr>
          <w:p w14:paraId="55F60A86">
            <w:pPr>
              <w:pStyle w:val="14"/>
              <w:jc w:val="center"/>
              <w:rPr>
                <w:rFonts w:hint="eastAsia"/>
                <w:sz w:val="21"/>
                <w:szCs w:val="21"/>
              </w:rPr>
            </w:pPr>
            <w:r>
              <w:rPr>
                <w:spacing w:val="-3"/>
                <w:sz w:val="21"/>
                <w:szCs w:val="21"/>
              </w:rPr>
              <w:t>配分</w:t>
            </w:r>
          </w:p>
        </w:tc>
      </w:tr>
      <w:tr w14:paraId="63484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72711631">
            <w:pPr>
              <w:pStyle w:val="14"/>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1</w:t>
            </w:r>
          </w:p>
        </w:tc>
        <w:tc>
          <w:tcPr>
            <w:tcW w:w="4651" w:type="dxa"/>
            <w:vAlign w:val="center"/>
          </w:tcPr>
          <w:p w14:paraId="776D5B8B">
            <w:pPr>
              <w:pStyle w:val="14"/>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任务A：工作站电气系统安装与调试</w:t>
            </w:r>
          </w:p>
        </w:tc>
        <w:tc>
          <w:tcPr>
            <w:tcW w:w="1022" w:type="dxa"/>
            <w:vAlign w:val="center"/>
          </w:tcPr>
          <w:p w14:paraId="395DEC8A">
            <w:pPr>
              <w:pStyle w:val="14"/>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35</w:t>
            </w:r>
          </w:p>
        </w:tc>
      </w:tr>
      <w:tr w14:paraId="08ECE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1019" w:type="dxa"/>
            <w:vAlign w:val="center"/>
          </w:tcPr>
          <w:p w14:paraId="67AC2A62">
            <w:pPr>
              <w:pStyle w:val="14"/>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2</w:t>
            </w:r>
          </w:p>
        </w:tc>
        <w:tc>
          <w:tcPr>
            <w:tcW w:w="4651" w:type="dxa"/>
            <w:vAlign w:val="center"/>
          </w:tcPr>
          <w:p w14:paraId="52E2E7EA">
            <w:pPr>
              <w:pStyle w:val="14"/>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任务B：工业过程自动化</w:t>
            </w:r>
            <w:r>
              <w:rPr>
                <w:rFonts w:hint="eastAsia" w:ascii="楷体" w:hAnsi="楷体" w:eastAsia="楷体" w:cs="楷体"/>
                <w:b/>
                <w:bCs/>
                <w:spacing w:val="-2"/>
                <w:sz w:val="21"/>
                <w:szCs w:val="21"/>
                <w:lang w:val="en-US" w:eastAsia="zh-CN"/>
              </w:rPr>
              <w:t>离线</w:t>
            </w:r>
            <w:r>
              <w:rPr>
                <w:rFonts w:hint="eastAsia" w:ascii="楷体" w:hAnsi="楷体" w:eastAsia="楷体" w:cs="楷体"/>
                <w:b/>
                <w:bCs/>
                <w:spacing w:val="-2"/>
                <w:sz w:val="21"/>
                <w:szCs w:val="21"/>
                <w:lang w:eastAsia="zh-CN"/>
              </w:rPr>
              <w:t>仿真</w:t>
            </w:r>
          </w:p>
        </w:tc>
        <w:tc>
          <w:tcPr>
            <w:tcW w:w="1022" w:type="dxa"/>
            <w:vAlign w:val="center"/>
          </w:tcPr>
          <w:p w14:paraId="65E7CE94">
            <w:pPr>
              <w:pStyle w:val="14"/>
              <w:jc w:val="center"/>
              <w:rPr>
                <w:rFonts w:hint="default" w:ascii="楷体" w:hAnsi="楷体" w:eastAsia="楷体" w:cs="楷体"/>
                <w:sz w:val="21"/>
                <w:szCs w:val="21"/>
                <w:lang w:val="en-US" w:eastAsia="zh-CN"/>
              </w:rPr>
            </w:pPr>
            <w:r>
              <w:rPr>
                <w:rFonts w:hint="eastAsia" w:ascii="楷体" w:hAnsi="楷体" w:eastAsia="楷体" w:cs="楷体"/>
                <w:spacing w:val="-2"/>
                <w:sz w:val="21"/>
                <w:szCs w:val="21"/>
                <w:lang w:eastAsia="zh-CN"/>
              </w:rPr>
              <w:t>1</w:t>
            </w:r>
            <w:r>
              <w:rPr>
                <w:rFonts w:hint="eastAsia" w:ascii="楷体" w:hAnsi="楷体" w:eastAsia="楷体" w:cs="楷体"/>
                <w:spacing w:val="-2"/>
                <w:sz w:val="21"/>
                <w:szCs w:val="21"/>
                <w:lang w:val="en-US" w:eastAsia="zh-CN"/>
              </w:rPr>
              <w:t>5</w:t>
            </w:r>
          </w:p>
        </w:tc>
      </w:tr>
      <w:tr w14:paraId="79C7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02F589DD">
            <w:pPr>
              <w:pStyle w:val="14"/>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3</w:t>
            </w:r>
          </w:p>
        </w:tc>
        <w:tc>
          <w:tcPr>
            <w:tcW w:w="4651" w:type="dxa"/>
            <w:vAlign w:val="center"/>
          </w:tcPr>
          <w:p w14:paraId="20B68D2C">
            <w:pPr>
              <w:pStyle w:val="14"/>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任务C：工业机器人参数设置及通讯</w:t>
            </w:r>
          </w:p>
        </w:tc>
        <w:tc>
          <w:tcPr>
            <w:tcW w:w="1022" w:type="dxa"/>
            <w:vAlign w:val="center"/>
          </w:tcPr>
          <w:p w14:paraId="16529912">
            <w:pPr>
              <w:pStyle w:val="14"/>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30</w:t>
            </w:r>
          </w:p>
        </w:tc>
      </w:tr>
      <w:tr w14:paraId="463DC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6389E3C0">
            <w:pPr>
              <w:pStyle w:val="14"/>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4</w:t>
            </w:r>
          </w:p>
        </w:tc>
        <w:tc>
          <w:tcPr>
            <w:tcW w:w="4651" w:type="dxa"/>
            <w:vAlign w:val="center"/>
          </w:tcPr>
          <w:p w14:paraId="3BF3262D">
            <w:pPr>
              <w:pStyle w:val="14"/>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任务D：工业机器人在线编程与监控</w:t>
            </w:r>
          </w:p>
        </w:tc>
        <w:tc>
          <w:tcPr>
            <w:tcW w:w="1022" w:type="dxa"/>
            <w:vAlign w:val="center"/>
          </w:tcPr>
          <w:p w14:paraId="7A0C55A0">
            <w:pPr>
              <w:pStyle w:val="14"/>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15</w:t>
            </w:r>
          </w:p>
        </w:tc>
      </w:tr>
      <w:tr w14:paraId="1D865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4C08CECD">
            <w:pPr>
              <w:pStyle w:val="14"/>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5</w:t>
            </w:r>
          </w:p>
        </w:tc>
        <w:tc>
          <w:tcPr>
            <w:tcW w:w="4651" w:type="dxa"/>
            <w:vAlign w:val="center"/>
          </w:tcPr>
          <w:p w14:paraId="08F25D9A">
            <w:pPr>
              <w:pStyle w:val="14"/>
              <w:rPr>
                <w:rFonts w:hint="eastAsia" w:ascii="楷体" w:hAnsi="楷体" w:eastAsia="楷体" w:cs="楷体"/>
                <w:spacing w:val="-2"/>
                <w:sz w:val="21"/>
                <w:szCs w:val="21"/>
                <w:lang w:eastAsia="zh-CN"/>
              </w:rPr>
            </w:pPr>
            <w:r>
              <w:rPr>
                <w:rFonts w:hint="eastAsia" w:ascii="楷体" w:hAnsi="楷体" w:eastAsia="楷体" w:cs="楷体"/>
                <w:b/>
                <w:bCs/>
                <w:spacing w:val="-2"/>
                <w:sz w:val="21"/>
                <w:szCs w:val="21"/>
                <w:lang w:eastAsia="zh-CN"/>
              </w:rPr>
              <w:t>任务E：职业素养</w:t>
            </w:r>
          </w:p>
        </w:tc>
        <w:tc>
          <w:tcPr>
            <w:tcW w:w="1022" w:type="dxa"/>
            <w:vAlign w:val="center"/>
          </w:tcPr>
          <w:p w14:paraId="54FD893A">
            <w:pPr>
              <w:pStyle w:val="14"/>
              <w:jc w:val="center"/>
              <w:rPr>
                <w:rFonts w:hint="default"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5</w:t>
            </w:r>
          </w:p>
        </w:tc>
      </w:tr>
      <w:tr w14:paraId="6FA1E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5670" w:type="dxa"/>
            <w:gridSpan w:val="2"/>
            <w:vAlign w:val="center"/>
          </w:tcPr>
          <w:p w14:paraId="46B6F82B">
            <w:pPr>
              <w:pStyle w:val="14"/>
              <w:jc w:val="center"/>
              <w:rPr>
                <w:rFonts w:hint="eastAsia"/>
                <w:sz w:val="20"/>
                <w:szCs w:val="20"/>
              </w:rPr>
            </w:pPr>
            <w:r>
              <w:rPr>
                <w:spacing w:val="-3"/>
                <w:sz w:val="21"/>
                <w:szCs w:val="21"/>
              </w:rPr>
              <w:t>合计</w:t>
            </w:r>
          </w:p>
        </w:tc>
        <w:tc>
          <w:tcPr>
            <w:tcW w:w="1022" w:type="dxa"/>
            <w:vAlign w:val="center"/>
          </w:tcPr>
          <w:p w14:paraId="745B5A3E">
            <w:pPr>
              <w:pStyle w:val="14"/>
              <w:jc w:val="center"/>
              <w:rPr>
                <w:rFonts w:hint="eastAsia" w:ascii="楷体" w:hAnsi="楷体" w:eastAsia="楷体" w:cs="楷体"/>
                <w:sz w:val="21"/>
                <w:szCs w:val="21"/>
              </w:rPr>
            </w:pPr>
            <w:r>
              <w:rPr>
                <w:rFonts w:hint="eastAsia" w:ascii="楷体" w:hAnsi="楷体" w:eastAsia="楷体" w:cs="楷体"/>
                <w:spacing w:val="-5"/>
                <w:sz w:val="21"/>
                <w:szCs w:val="21"/>
              </w:rPr>
              <w:t>100</w:t>
            </w:r>
          </w:p>
        </w:tc>
      </w:tr>
    </w:tbl>
    <w:p w14:paraId="5CB6CB68">
      <w:pPr>
        <w:jc w:val="center"/>
        <w:rPr>
          <w:sz w:val="40"/>
          <w:szCs w:val="48"/>
        </w:rPr>
      </w:pPr>
    </w:p>
    <w:p w14:paraId="6BA645FF">
      <w:pPr>
        <w:pStyle w:val="10"/>
        <w:jc w:val="both"/>
        <w:rPr>
          <w:sz w:val="40"/>
          <w:szCs w:val="48"/>
        </w:rPr>
      </w:pPr>
    </w:p>
    <w:p w14:paraId="64D83315">
      <w:pPr>
        <w:jc w:val="center"/>
        <w:rPr>
          <w:rFonts w:hint="eastAsia"/>
          <w:b/>
          <w:bCs/>
          <w:sz w:val="52"/>
          <w:szCs w:val="52"/>
        </w:rPr>
      </w:pPr>
      <w:r>
        <w:rPr>
          <w:rFonts w:hint="eastAsia"/>
          <w:b/>
          <w:bCs/>
          <w:sz w:val="52"/>
          <w:szCs w:val="52"/>
        </w:rPr>
        <w:t>赛项任务书</w:t>
      </w:r>
    </w:p>
    <w:p w14:paraId="0029073C">
      <w:pPr>
        <w:pStyle w:val="10"/>
        <w:jc w:val="center"/>
        <w:rPr>
          <w:rFonts w:hint="default" w:eastAsia="宋体"/>
          <w:b/>
          <w:bCs/>
          <w:sz w:val="44"/>
          <w:szCs w:val="44"/>
          <w:lang w:val="en-US" w:eastAsia="zh-CN"/>
        </w:rPr>
      </w:pPr>
      <w:r>
        <w:rPr>
          <w:rFonts w:hint="eastAsia"/>
          <w:b/>
          <w:bCs/>
          <w:sz w:val="44"/>
          <w:szCs w:val="44"/>
          <w:lang w:eastAsia="zh-CN"/>
        </w:rPr>
        <w:t>（</w:t>
      </w:r>
      <w:r>
        <w:rPr>
          <w:rFonts w:hint="eastAsia"/>
          <w:b/>
          <w:bCs/>
          <w:sz w:val="44"/>
          <w:szCs w:val="44"/>
          <w:lang w:val="en-US" w:eastAsia="zh-CN"/>
        </w:rPr>
        <w:t>教师组样题）</w:t>
      </w:r>
    </w:p>
    <w:p w14:paraId="552C98C0">
      <w:pPr>
        <w:jc w:val="center"/>
        <w:rPr>
          <w:sz w:val="48"/>
          <w:szCs w:val="56"/>
        </w:rPr>
      </w:pPr>
    </w:p>
    <w:p w14:paraId="2AECDBB6">
      <w:pPr>
        <w:jc w:val="left"/>
        <w:rPr>
          <w:sz w:val="48"/>
          <w:szCs w:val="56"/>
        </w:rPr>
      </w:pPr>
    </w:p>
    <w:p w14:paraId="5BB5A66A">
      <w:pPr>
        <w:ind w:firstLine="960" w:firstLineChars="200"/>
        <w:jc w:val="left"/>
        <w:rPr>
          <w:sz w:val="48"/>
          <w:szCs w:val="56"/>
        </w:rPr>
      </w:pPr>
    </w:p>
    <w:p w14:paraId="62BE0D6B">
      <w:pPr>
        <w:ind w:firstLine="960" w:firstLineChars="200"/>
        <w:jc w:val="left"/>
        <w:rPr>
          <w:sz w:val="48"/>
          <w:szCs w:val="56"/>
        </w:rPr>
      </w:pPr>
    </w:p>
    <w:p w14:paraId="3015A4B4">
      <w:pPr>
        <w:ind w:firstLine="960" w:firstLineChars="200"/>
        <w:jc w:val="left"/>
        <w:rPr>
          <w:sz w:val="48"/>
          <w:szCs w:val="56"/>
        </w:rPr>
      </w:pPr>
    </w:p>
    <w:p w14:paraId="495C5745">
      <w:pPr>
        <w:ind w:firstLine="960" w:firstLineChars="200"/>
        <w:jc w:val="left"/>
        <w:rPr>
          <w:sz w:val="48"/>
          <w:szCs w:val="56"/>
        </w:rPr>
      </w:pPr>
    </w:p>
    <w:p w14:paraId="768CCFA6">
      <w:pPr>
        <w:ind w:firstLine="960" w:firstLineChars="200"/>
        <w:jc w:val="left"/>
        <w:rPr>
          <w:sz w:val="48"/>
          <w:szCs w:val="56"/>
        </w:rPr>
      </w:pPr>
    </w:p>
    <w:p w14:paraId="13070E7D">
      <w:pPr>
        <w:ind w:firstLine="960" w:firstLineChars="200"/>
        <w:jc w:val="left"/>
        <w:rPr>
          <w:sz w:val="48"/>
          <w:szCs w:val="56"/>
        </w:rPr>
      </w:pPr>
    </w:p>
    <w:p w14:paraId="10C39C91">
      <w:pPr>
        <w:ind w:firstLine="643" w:firstLineChars="200"/>
        <w:jc w:val="left"/>
        <w:rPr>
          <w:b/>
          <w:bCs/>
          <w:sz w:val="32"/>
          <w:szCs w:val="40"/>
        </w:rPr>
      </w:pPr>
    </w:p>
    <w:p w14:paraId="3B5A2145">
      <w:pPr>
        <w:ind w:firstLine="643" w:firstLineChars="200"/>
        <w:jc w:val="left"/>
        <w:rPr>
          <w:b/>
          <w:bCs/>
          <w:sz w:val="32"/>
          <w:szCs w:val="40"/>
        </w:rPr>
      </w:pPr>
    </w:p>
    <w:p w14:paraId="0BBB2F8F">
      <w:pPr>
        <w:pStyle w:val="10"/>
        <w:rPr>
          <w:b/>
          <w:bCs/>
          <w:sz w:val="32"/>
          <w:szCs w:val="40"/>
        </w:rPr>
      </w:pPr>
    </w:p>
    <w:p w14:paraId="271C2C1C">
      <w:pPr>
        <w:pStyle w:val="10"/>
        <w:rPr>
          <w:b/>
          <w:bCs/>
          <w:sz w:val="32"/>
          <w:szCs w:val="40"/>
        </w:rPr>
      </w:pPr>
    </w:p>
    <w:p w14:paraId="7ED4F99F">
      <w:pPr>
        <w:spacing w:line="480" w:lineRule="auto"/>
        <w:ind w:firstLine="640" w:firstLineChars="200"/>
        <w:jc w:val="left"/>
        <w:rPr>
          <w:sz w:val="32"/>
          <w:szCs w:val="40"/>
          <w:u w:val="single"/>
        </w:rPr>
      </w:pPr>
      <w:r>
        <w:rPr>
          <w:rFonts w:hint="eastAsia"/>
          <w:sz w:val="32"/>
          <w:szCs w:val="40"/>
        </w:rPr>
        <w:t>场次号：___________      赛位号：___________</w:t>
      </w:r>
    </w:p>
    <w:p w14:paraId="4B794598">
      <w:pPr>
        <w:jc w:val="center"/>
        <w:rPr>
          <w:rFonts w:hint="eastAsia" w:ascii="仿宋" w:hAnsi="仿宋" w:eastAsia="仿宋" w:cs="仿宋"/>
          <w:sz w:val="31"/>
          <w:szCs w:val="31"/>
        </w:rPr>
      </w:pPr>
      <w:r>
        <w:rPr>
          <w:rFonts w:hint="eastAsia"/>
          <w:b/>
          <w:bCs/>
          <w:sz w:val="32"/>
          <w:szCs w:val="40"/>
          <w:u w:val="single"/>
        </w:rPr>
        <w:br w:type="page"/>
      </w:r>
      <w:r>
        <w:rPr>
          <w:rFonts w:ascii="仿宋" w:hAnsi="仿宋" w:eastAsia="仿宋" w:cs="仿宋"/>
          <w:b/>
          <w:bCs/>
          <w:spacing w:val="3"/>
          <w:sz w:val="31"/>
          <w:szCs w:val="31"/>
        </w:rPr>
        <w:t>重要说明</w:t>
      </w:r>
    </w:p>
    <w:p w14:paraId="066FA360">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1.比赛时间</w:t>
      </w:r>
      <w:r>
        <w:rPr>
          <w:rFonts w:hint="eastAsia" w:ascii="仿宋" w:hAnsi="仿宋" w:eastAsia="仿宋" w:cs="仿宋"/>
          <w:spacing w:val="-1"/>
          <w:sz w:val="28"/>
          <w:szCs w:val="28"/>
          <w:lang w:val="en-US" w:eastAsia="zh-CN"/>
        </w:rPr>
        <w:t>90</w:t>
      </w:r>
      <w:r>
        <w:rPr>
          <w:rFonts w:ascii="仿宋" w:hAnsi="仿宋" w:eastAsia="仿宋" w:cs="仿宋"/>
          <w:spacing w:val="-1"/>
          <w:sz w:val="28"/>
          <w:szCs w:val="28"/>
        </w:rPr>
        <w:t>分钟</w:t>
      </w:r>
      <w:r>
        <w:rPr>
          <w:rFonts w:hint="eastAsia" w:ascii="仿宋" w:hAnsi="仿宋" w:eastAsia="仿宋" w:cs="仿宋"/>
          <w:spacing w:val="-1"/>
          <w:sz w:val="28"/>
          <w:szCs w:val="28"/>
        </w:rPr>
        <w:t>，比赛为</w:t>
      </w:r>
      <w:r>
        <w:rPr>
          <w:rFonts w:hint="eastAsia" w:ascii="仿宋" w:hAnsi="仿宋" w:eastAsia="仿宋" w:cs="仿宋"/>
          <w:spacing w:val="-1"/>
          <w:sz w:val="28"/>
          <w:szCs w:val="28"/>
          <w:lang w:val="en-US" w:eastAsia="zh-CN"/>
        </w:rPr>
        <w:t>单人独立竞</w:t>
      </w:r>
      <w:r>
        <w:rPr>
          <w:rFonts w:hint="eastAsia" w:ascii="仿宋" w:hAnsi="仿宋" w:eastAsia="仿宋" w:cs="仿宋"/>
          <w:spacing w:val="-1"/>
          <w:sz w:val="28"/>
          <w:szCs w:val="28"/>
        </w:rPr>
        <w:t>赛，竞赛期间</w:t>
      </w:r>
      <w:r>
        <w:rPr>
          <w:rFonts w:ascii="仿宋" w:hAnsi="仿宋" w:eastAsia="仿宋" w:cs="仿宋"/>
          <w:spacing w:val="-1"/>
          <w:sz w:val="28"/>
          <w:szCs w:val="28"/>
        </w:rPr>
        <w:t>需要在赛</w:t>
      </w:r>
      <w:r>
        <w:rPr>
          <w:rFonts w:ascii="仿宋" w:hAnsi="仿宋" w:eastAsia="仿宋" w:cs="仿宋"/>
          <w:spacing w:val="-3"/>
          <w:sz w:val="28"/>
          <w:szCs w:val="28"/>
        </w:rPr>
        <w:t>位指定位置，</w:t>
      </w:r>
      <w:r>
        <w:rPr>
          <w:rFonts w:hint="eastAsia" w:ascii="仿宋" w:hAnsi="仿宋" w:eastAsia="仿宋" w:cs="仿宋"/>
          <w:spacing w:val="-3"/>
          <w:sz w:val="28"/>
          <w:szCs w:val="28"/>
        </w:rPr>
        <w:t>不允许随意调换工位</w:t>
      </w:r>
      <w:r>
        <w:rPr>
          <w:rFonts w:ascii="仿宋" w:hAnsi="仿宋" w:eastAsia="仿宋" w:cs="仿宋"/>
          <w:spacing w:val="-3"/>
          <w:sz w:val="28"/>
          <w:szCs w:val="28"/>
        </w:rPr>
        <w:t>。</w:t>
      </w:r>
    </w:p>
    <w:p w14:paraId="03DB5479">
      <w:pPr>
        <w:spacing w:line="500" w:lineRule="exact"/>
        <w:ind w:firstLine="556" w:firstLineChars="200"/>
        <w:jc w:val="left"/>
      </w:pPr>
      <w:r>
        <w:rPr>
          <w:rFonts w:ascii="仿宋" w:hAnsi="仿宋" w:eastAsia="仿宋" w:cs="仿宋"/>
          <w:spacing w:val="-1"/>
          <w:sz w:val="28"/>
          <w:szCs w:val="28"/>
        </w:rPr>
        <w:t>2.比赛共包括</w:t>
      </w:r>
      <w:r>
        <w:rPr>
          <w:rFonts w:hint="eastAsia" w:ascii="仿宋" w:hAnsi="仿宋" w:eastAsia="仿宋" w:cs="仿宋"/>
          <w:spacing w:val="-1"/>
          <w:sz w:val="28"/>
          <w:szCs w:val="28"/>
        </w:rPr>
        <w:t>5</w:t>
      </w:r>
      <w:r>
        <w:rPr>
          <w:rFonts w:ascii="仿宋" w:hAnsi="仿宋" w:eastAsia="仿宋" w:cs="仿宋"/>
          <w:spacing w:val="-1"/>
          <w:sz w:val="28"/>
          <w:szCs w:val="28"/>
        </w:rPr>
        <w:t>个任务，总分100分。</w:t>
      </w:r>
    </w:p>
    <w:p w14:paraId="10445B16">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3.不限制任务中各项的</w:t>
      </w:r>
      <w:r>
        <w:rPr>
          <w:rFonts w:ascii="仿宋" w:hAnsi="仿宋" w:eastAsia="仿宋" w:cs="仿宋"/>
          <w:spacing w:val="-3"/>
          <w:sz w:val="28"/>
          <w:szCs w:val="28"/>
        </w:rPr>
        <w:t>先后顺序，选</w:t>
      </w:r>
      <w:r>
        <w:rPr>
          <w:rFonts w:ascii="仿宋" w:hAnsi="仿宋" w:eastAsia="仿宋" w:cs="仿宋"/>
          <w:spacing w:val="-2"/>
          <w:sz w:val="28"/>
          <w:szCs w:val="28"/>
        </w:rPr>
        <w:t>手在实际比赛过程中要根据赛题情况进行操作</w:t>
      </w:r>
      <w:r>
        <w:rPr>
          <w:rFonts w:hint="eastAsia" w:ascii="仿宋" w:hAnsi="仿宋" w:eastAsia="仿宋" w:cs="仿宋"/>
          <w:spacing w:val="-2"/>
          <w:sz w:val="28"/>
          <w:szCs w:val="28"/>
        </w:rPr>
        <w:t>。任务A</w:t>
      </w:r>
      <w:r>
        <w:rPr>
          <w:rFonts w:ascii="仿宋" w:hAnsi="仿宋" w:eastAsia="仿宋"/>
          <w:color w:val="000000"/>
          <w:sz w:val="28"/>
        </w:rPr>
        <w:t>完成后需要裁判和技术确认，无误后方可上电</w:t>
      </w:r>
      <w:r>
        <w:rPr>
          <w:rFonts w:hint="eastAsia" w:ascii="仿宋" w:hAnsi="仿宋" w:eastAsia="仿宋"/>
          <w:color w:val="000000"/>
          <w:sz w:val="28"/>
        </w:rPr>
        <w:t>。</w:t>
      </w:r>
    </w:p>
    <w:p w14:paraId="29670627">
      <w:pPr>
        <w:spacing w:line="500" w:lineRule="exact"/>
        <w:ind w:firstLine="544" w:firstLineChars="200"/>
        <w:jc w:val="left"/>
        <w:rPr>
          <w:rFonts w:hint="eastAsia" w:ascii="仿宋" w:hAnsi="仿宋" w:eastAsia="仿宋" w:cs="仿宋"/>
          <w:sz w:val="28"/>
          <w:szCs w:val="28"/>
        </w:rPr>
      </w:pPr>
      <w:r>
        <w:rPr>
          <w:rFonts w:ascii="仿宋" w:hAnsi="仿宋" w:eastAsia="仿宋" w:cs="仿宋"/>
          <w:spacing w:val="-4"/>
          <w:sz w:val="28"/>
          <w:szCs w:val="28"/>
        </w:rPr>
        <w:t>4.</w:t>
      </w:r>
      <w:r>
        <w:rPr>
          <w:rFonts w:ascii="仿宋" w:hAnsi="仿宋" w:eastAsia="仿宋" w:cs="仿宋"/>
          <w:spacing w:val="-3"/>
          <w:sz w:val="28"/>
          <w:szCs w:val="28"/>
        </w:rPr>
        <w:t>赛场提供的任何物品，不得带离赛场。</w:t>
      </w:r>
    </w:p>
    <w:p w14:paraId="7063D19E">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5.比赛过程中，若发生危及设备或人身安全事故，立即停止比赛，并取消其</w:t>
      </w:r>
      <w:r>
        <w:rPr>
          <w:rFonts w:ascii="仿宋" w:hAnsi="仿宋" w:eastAsia="仿宋" w:cs="仿宋"/>
          <w:spacing w:val="-3"/>
          <w:sz w:val="28"/>
          <w:szCs w:val="28"/>
        </w:rPr>
        <w:t>参赛资格。</w:t>
      </w:r>
    </w:p>
    <w:p w14:paraId="406D973B">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6.比赛所需要的资料都以电子版的形式保存在计算机</w:t>
      </w:r>
      <w:r>
        <w:rPr>
          <w:rFonts w:hint="eastAsia" w:ascii="仿宋" w:hAnsi="仿宋" w:eastAsia="仿宋" w:cs="仿宋"/>
          <w:spacing w:val="-1"/>
          <w:sz w:val="28"/>
          <w:szCs w:val="28"/>
        </w:rPr>
        <w:t>桌面</w:t>
      </w:r>
      <w:r>
        <w:rPr>
          <w:rFonts w:ascii="仿宋" w:hAnsi="仿宋" w:eastAsia="仿宋" w:cs="仿宋"/>
          <w:sz w:val="28"/>
          <w:szCs w:val="28"/>
        </w:rPr>
        <w:t>,包含HMI界面</w:t>
      </w:r>
      <w:r>
        <w:rPr>
          <w:rFonts w:hint="eastAsia" w:ascii="仿宋" w:hAnsi="仿宋" w:eastAsia="仿宋" w:cs="仿宋"/>
          <w:sz w:val="28"/>
          <w:szCs w:val="28"/>
        </w:rPr>
        <w:t>的图片样例</w:t>
      </w:r>
      <w:r>
        <w:rPr>
          <w:rFonts w:ascii="仿宋" w:hAnsi="仿宋" w:eastAsia="仿宋" w:cs="仿宋"/>
          <w:sz w:val="28"/>
          <w:szCs w:val="28"/>
        </w:rPr>
        <w:t>、</w:t>
      </w:r>
      <w:r>
        <w:rPr>
          <w:rFonts w:hint="eastAsia" w:ascii="仿宋" w:hAnsi="仿宋" w:eastAsia="仿宋" w:cs="仿宋"/>
          <w:sz w:val="28"/>
          <w:szCs w:val="28"/>
        </w:rPr>
        <w:t>线路原理图</w:t>
      </w:r>
      <w:r>
        <w:rPr>
          <w:rFonts w:ascii="仿宋" w:hAnsi="仿宋" w:eastAsia="仿宋" w:cs="仿宋"/>
          <w:spacing w:val="-1"/>
          <w:sz w:val="28"/>
          <w:szCs w:val="28"/>
        </w:rPr>
        <w:t>、气动原理图、装配图、PLC变</w:t>
      </w:r>
      <w:r>
        <w:rPr>
          <w:rFonts w:ascii="仿宋" w:hAnsi="仿宋" w:eastAsia="仿宋" w:cs="仿宋"/>
          <w:spacing w:val="-2"/>
          <w:sz w:val="28"/>
          <w:szCs w:val="28"/>
        </w:rPr>
        <w:t>量表等。</w:t>
      </w:r>
    </w:p>
    <w:p w14:paraId="474F7D96">
      <w:pPr>
        <w:spacing w:line="500" w:lineRule="exact"/>
        <w:ind w:firstLine="548" w:firstLineChars="200"/>
        <w:jc w:val="left"/>
        <w:rPr>
          <w:rFonts w:hint="eastAsia" w:ascii="仿宋" w:hAnsi="仿宋" w:eastAsia="仿宋" w:cs="仿宋"/>
          <w:sz w:val="28"/>
          <w:szCs w:val="28"/>
        </w:rPr>
      </w:pPr>
      <w:r>
        <w:rPr>
          <w:rFonts w:ascii="仿宋" w:hAnsi="仿宋" w:eastAsia="仿宋" w:cs="仿宋"/>
          <w:spacing w:val="-3"/>
          <w:sz w:val="28"/>
          <w:szCs w:val="28"/>
        </w:rPr>
        <w:t>7.选手</w:t>
      </w:r>
      <w:r>
        <w:rPr>
          <w:rFonts w:hint="eastAsia" w:ascii="仿宋" w:hAnsi="仿宋" w:eastAsia="仿宋" w:cs="仿宋"/>
          <w:spacing w:val="-3"/>
          <w:sz w:val="28"/>
          <w:szCs w:val="28"/>
        </w:rPr>
        <w:t>在</w:t>
      </w:r>
      <w:r>
        <w:rPr>
          <w:rFonts w:ascii="仿宋" w:hAnsi="仿宋" w:eastAsia="仿宋" w:cs="仿宋"/>
          <w:spacing w:val="-3"/>
          <w:sz w:val="28"/>
          <w:szCs w:val="28"/>
        </w:rPr>
        <w:t>比赛过程中</w:t>
      </w:r>
      <w:r>
        <w:rPr>
          <w:rFonts w:hint="eastAsia" w:ascii="仿宋" w:hAnsi="仿宋" w:eastAsia="仿宋" w:cs="仿宋"/>
          <w:spacing w:val="-3"/>
          <w:sz w:val="28"/>
          <w:szCs w:val="28"/>
        </w:rPr>
        <w:t>上电前</w:t>
      </w:r>
      <w:r>
        <w:rPr>
          <w:rFonts w:ascii="仿宋" w:hAnsi="仿宋" w:eastAsia="仿宋" w:cs="仿宋"/>
          <w:spacing w:val="-3"/>
          <w:sz w:val="28"/>
          <w:szCs w:val="28"/>
        </w:rPr>
        <w:t>需裁判确认部分，应当先举手示意，等待裁判人员前来</w:t>
      </w:r>
      <w:r>
        <w:rPr>
          <w:rFonts w:ascii="仿宋" w:hAnsi="仿宋" w:eastAsia="仿宋" w:cs="仿宋"/>
          <w:spacing w:val="-18"/>
          <w:sz w:val="28"/>
          <w:szCs w:val="28"/>
        </w:rPr>
        <w:t>处</w:t>
      </w:r>
      <w:r>
        <w:rPr>
          <w:rFonts w:ascii="仿宋" w:hAnsi="仿宋" w:eastAsia="仿宋" w:cs="仿宋"/>
          <w:spacing w:val="-3"/>
          <w:sz w:val="28"/>
          <w:szCs w:val="28"/>
        </w:rPr>
        <w:t>理</w:t>
      </w:r>
      <w:r>
        <w:rPr>
          <w:rFonts w:hint="eastAsia" w:ascii="仿宋" w:hAnsi="仿宋" w:eastAsia="仿宋" w:cs="仿宋"/>
          <w:spacing w:val="-3"/>
          <w:sz w:val="28"/>
          <w:szCs w:val="28"/>
        </w:rPr>
        <w:t>。</w:t>
      </w:r>
    </w:p>
    <w:p w14:paraId="4F91C473">
      <w:pPr>
        <w:spacing w:line="500" w:lineRule="exact"/>
        <w:ind w:firstLine="548" w:firstLineChars="200"/>
        <w:jc w:val="left"/>
        <w:rPr>
          <w:rFonts w:hint="eastAsia" w:ascii="仿宋" w:hAnsi="仿宋" w:eastAsia="仿宋" w:cs="仿宋"/>
          <w:sz w:val="28"/>
          <w:szCs w:val="28"/>
        </w:rPr>
      </w:pPr>
      <w:r>
        <w:rPr>
          <w:rFonts w:ascii="仿宋" w:hAnsi="仿宋" w:eastAsia="仿宋" w:cs="仿宋"/>
          <w:spacing w:val="-3"/>
          <w:sz w:val="28"/>
          <w:szCs w:val="28"/>
        </w:rPr>
        <w:t>8.</w:t>
      </w:r>
      <w:r>
        <w:rPr>
          <w:rFonts w:ascii="仿宋" w:hAnsi="仿宋" w:eastAsia="仿宋" w:cs="仿宋"/>
          <w:spacing w:val="-1"/>
          <w:sz w:val="28"/>
          <w:szCs w:val="28"/>
        </w:rPr>
        <w:t>选手在比赛开始前，认真对照材料清单检查工位设备和耗材，确认无误</w:t>
      </w:r>
      <w:r>
        <w:rPr>
          <w:rFonts w:ascii="仿宋" w:hAnsi="仿宋" w:eastAsia="仿宋" w:cs="仿宋"/>
          <w:spacing w:val="-7"/>
          <w:sz w:val="28"/>
          <w:szCs w:val="28"/>
        </w:rPr>
        <w:t>后</w:t>
      </w:r>
      <w:r>
        <w:rPr>
          <w:rFonts w:hint="eastAsia" w:ascii="仿宋" w:hAnsi="仿宋" w:eastAsia="仿宋" w:cs="仿宋"/>
          <w:spacing w:val="-7"/>
          <w:sz w:val="28"/>
          <w:szCs w:val="28"/>
        </w:rPr>
        <w:t>签字</w:t>
      </w:r>
      <w:r>
        <w:rPr>
          <w:rFonts w:ascii="仿宋" w:hAnsi="仿宋" w:eastAsia="仿宋" w:cs="仿宋"/>
          <w:spacing w:val="-7"/>
          <w:sz w:val="28"/>
          <w:szCs w:val="28"/>
        </w:rPr>
        <w:t>开始比赛。</w:t>
      </w:r>
    </w:p>
    <w:p w14:paraId="262A4B44">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9.选手在</w:t>
      </w:r>
      <w:r>
        <w:rPr>
          <w:rFonts w:hint="eastAsia" w:ascii="仿宋" w:hAnsi="仿宋" w:eastAsia="仿宋" w:cs="仿宋"/>
          <w:spacing w:val="-2"/>
          <w:sz w:val="28"/>
          <w:szCs w:val="28"/>
        </w:rPr>
        <w:t>比</w:t>
      </w:r>
      <w:r>
        <w:rPr>
          <w:rFonts w:ascii="仿宋" w:hAnsi="仿宋" w:eastAsia="仿宋" w:cs="仿宋"/>
          <w:spacing w:val="-2"/>
          <w:sz w:val="28"/>
          <w:szCs w:val="28"/>
        </w:rPr>
        <w:t>赛过程中应该遵守相关的规章制度和安全守则，如有违反，则按</w:t>
      </w:r>
      <w:r>
        <w:rPr>
          <w:rFonts w:ascii="仿宋" w:hAnsi="仿宋" w:eastAsia="仿宋" w:cs="仿宋"/>
          <w:spacing w:val="-4"/>
          <w:sz w:val="28"/>
          <w:szCs w:val="28"/>
        </w:rPr>
        <w:t>照相关规定在</w:t>
      </w:r>
      <w:r>
        <w:rPr>
          <w:rFonts w:hint="eastAsia" w:ascii="仿宋" w:hAnsi="仿宋" w:eastAsia="仿宋" w:cs="仿宋"/>
          <w:spacing w:val="-4"/>
          <w:sz w:val="28"/>
          <w:szCs w:val="28"/>
        </w:rPr>
        <w:t>比</w:t>
      </w:r>
      <w:r>
        <w:rPr>
          <w:rFonts w:ascii="仿宋" w:hAnsi="仿宋" w:eastAsia="仿宋" w:cs="仿宋"/>
          <w:spacing w:val="-4"/>
          <w:sz w:val="28"/>
          <w:szCs w:val="28"/>
        </w:rPr>
        <w:t>赛的总成绩中扣除相应分值。</w:t>
      </w:r>
    </w:p>
    <w:p w14:paraId="3F96413A">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10.选手必须及时保存自己编写的程序及资料，防止意外断电及其它情况造</w:t>
      </w:r>
      <w:r>
        <w:rPr>
          <w:rFonts w:ascii="仿宋" w:hAnsi="仿宋" w:eastAsia="仿宋" w:cs="仿宋"/>
          <w:spacing w:val="-4"/>
          <w:sz w:val="28"/>
          <w:szCs w:val="28"/>
        </w:rPr>
        <w:t>成程序或资料</w:t>
      </w:r>
      <w:r>
        <w:rPr>
          <w:rFonts w:ascii="仿宋" w:hAnsi="仿宋" w:eastAsia="仿宋" w:cs="仿宋"/>
          <w:spacing w:val="-2"/>
          <w:sz w:val="28"/>
          <w:szCs w:val="28"/>
        </w:rPr>
        <w:t>丢失，因以上原因导致的程序或资料丢失，由选手自行负责</w:t>
      </w:r>
      <w:r>
        <w:rPr>
          <w:rFonts w:hint="eastAsia" w:ascii="仿宋" w:hAnsi="仿宋" w:eastAsia="仿宋" w:cs="仿宋"/>
          <w:spacing w:val="-2"/>
          <w:sz w:val="28"/>
          <w:szCs w:val="28"/>
        </w:rPr>
        <w:t>，</w:t>
      </w:r>
      <w:r>
        <w:rPr>
          <w:rFonts w:ascii="仿宋" w:hAnsi="仿宋" w:eastAsia="仿宋" w:cs="仿宋"/>
          <w:spacing w:val="-2"/>
          <w:sz w:val="28"/>
          <w:szCs w:val="28"/>
        </w:rPr>
        <w:t>不再额外进行补时。</w:t>
      </w:r>
    </w:p>
    <w:p w14:paraId="02511987">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11.</w:t>
      </w:r>
      <w:r>
        <w:rPr>
          <w:rFonts w:ascii="仿宋" w:hAnsi="仿宋" w:eastAsia="仿宋" w:cs="仿宋"/>
          <w:spacing w:val="-8"/>
          <w:sz w:val="28"/>
          <w:szCs w:val="28"/>
        </w:rPr>
        <w:t>需要裁判验收的各项任务，任务完成后裁判只验收1次，请根据赛题说明，</w:t>
      </w:r>
      <w:r>
        <w:rPr>
          <w:rFonts w:ascii="仿宋" w:hAnsi="仿宋" w:eastAsia="仿宋" w:cs="仿宋"/>
          <w:spacing w:val="-1"/>
          <w:sz w:val="28"/>
          <w:szCs w:val="28"/>
        </w:rPr>
        <w:t>确认完成后再提请裁判验收。</w:t>
      </w:r>
    </w:p>
    <w:p w14:paraId="7C4D0025">
      <w:pPr>
        <w:spacing w:line="500" w:lineRule="exact"/>
        <w:ind w:firstLine="528" w:firstLineChars="200"/>
        <w:jc w:val="left"/>
        <w:rPr>
          <w:rFonts w:hint="eastAsia" w:ascii="仿宋" w:hAnsi="仿宋" w:eastAsia="仿宋" w:cs="仿宋"/>
          <w:spacing w:val="-2"/>
          <w:sz w:val="28"/>
          <w:szCs w:val="28"/>
        </w:rPr>
      </w:pPr>
      <w:r>
        <w:rPr>
          <w:rFonts w:ascii="仿宋" w:hAnsi="仿宋" w:eastAsia="仿宋" w:cs="仿宋"/>
          <w:spacing w:val="-8"/>
          <w:sz w:val="28"/>
          <w:szCs w:val="28"/>
        </w:rPr>
        <w:t>12.</w:t>
      </w:r>
      <w:r>
        <w:rPr>
          <w:rFonts w:ascii="仿宋" w:hAnsi="仿宋" w:eastAsia="仿宋" w:cs="仿宋"/>
          <w:spacing w:val="-1"/>
          <w:sz w:val="28"/>
          <w:szCs w:val="28"/>
        </w:rPr>
        <w:t>选手严禁携带任何通讯、存储设备及技术资料，如有发现将取消其</w:t>
      </w:r>
      <w:r>
        <w:rPr>
          <w:rFonts w:hint="eastAsia" w:ascii="仿宋" w:hAnsi="仿宋" w:eastAsia="仿宋" w:cs="仿宋"/>
          <w:spacing w:val="-1"/>
          <w:sz w:val="28"/>
          <w:szCs w:val="28"/>
        </w:rPr>
        <w:t>比</w:t>
      </w:r>
      <w:r>
        <w:rPr>
          <w:rFonts w:ascii="仿宋" w:hAnsi="仿宋" w:eastAsia="仿宋" w:cs="仿宋"/>
          <w:spacing w:val="-1"/>
          <w:sz w:val="28"/>
          <w:szCs w:val="28"/>
        </w:rPr>
        <w:t>赛</w:t>
      </w:r>
      <w:r>
        <w:rPr>
          <w:rFonts w:ascii="仿宋" w:hAnsi="仿宋" w:eastAsia="仿宋" w:cs="仿宋"/>
          <w:spacing w:val="-2"/>
          <w:sz w:val="28"/>
          <w:szCs w:val="28"/>
        </w:rPr>
        <w:t>资格。选手擅自离开本参赛队赛位或者与其他赛位的选手交流或者在赛场大声喧哗，严重影响赛场秩序的，将取消其</w:t>
      </w:r>
      <w:r>
        <w:rPr>
          <w:rFonts w:hint="eastAsia" w:ascii="仿宋" w:hAnsi="仿宋" w:eastAsia="仿宋" w:cs="仿宋"/>
          <w:spacing w:val="-2"/>
          <w:sz w:val="28"/>
          <w:szCs w:val="28"/>
        </w:rPr>
        <w:t>比</w:t>
      </w:r>
      <w:r>
        <w:rPr>
          <w:rFonts w:ascii="仿宋" w:hAnsi="仿宋" w:eastAsia="仿宋" w:cs="仿宋"/>
          <w:spacing w:val="-2"/>
          <w:sz w:val="28"/>
          <w:szCs w:val="28"/>
        </w:rPr>
        <w:t>赛资格。</w:t>
      </w:r>
    </w:p>
    <w:p w14:paraId="310B7CD0">
      <w:pPr>
        <w:pStyle w:val="2"/>
        <w:spacing w:before="0" w:after="0" w:line="500" w:lineRule="exact"/>
        <w:jc w:val="left"/>
        <w:rPr>
          <w:rFonts w:hint="eastAsia" w:ascii="宋体" w:hAnsi="宋体" w:eastAsia="宋体" w:cs="宋体"/>
        </w:rPr>
      </w:pPr>
      <w:r>
        <w:rPr>
          <w:rFonts w:hint="eastAsia" w:ascii="宋体" w:hAnsi="宋体" w:eastAsia="宋体" w:cs="宋体"/>
        </w:rPr>
        <w:t>A工作站电气系统安装与调试（</w:t>
      </w:r>
      <w:r>
        <w:rPr>
          <w:rFonts w:hint="eastAsia" w:ascii="宋体" w:hAnsi="宋体" w:eastAsia="宋体" w:cs="宋体"/>
          <w:lang w:val="en-US" w:eastAsia="zh-CN"/>
        </w:rPr>
        <w:t>35</w:t>
      </w:r>
      <w:r>
        <w:rPr>
          <w:rFonts w:hint="eastAsia" w:ascii="宋体" w:hAnsi="宋体" w:eastAsia="宋体" w:cs="宋体"/>
        </w:rPr>
        <w:t>分）</w:t>
      </w:r>
    </w:p>
    <w:p w14:paraId="20BFFB3A">
      <w:pPr>
        <w:spacing w:line="400" w:lineRule="exact"/>
        <w:rPr>
          <w:rFonts w:hint="eastAsia" w:ascii="黑体" w:hAnsi="黑体" w:eastAsia="黑体" w:cs="黑体"/>
          <w:b/>
          <w:bCs/>
          <w:sz w:val="24"/>
        </w:rPr>
      </w:pPr>
      <w:r>
        <w:rPr>
          <w:rFonts w:hint="eastAsia" w:ascii="黑体" w:hAnsi="黑体" w:eastAsia="黑体" w:cs="黑体"/>
          <w:b/>
          <w:bCs/>
          <w:sz w:val="24"/>
        </w:rPr>
        <w:t>A-a 工业机器人周边设备机械装调检查与安装（完成工业机器人工作站的装配单元、搬运单元、工具快换系统、井式供料等其中的未完整安装或固定模块的机械安装与固定。要求检查安装销钉孔对齐，螺钉紧固。）（</w:t>
      </w:r>
      <w:r>
        <w:rPr>
          <w:rFonts w:hint="eastAsia" w:ascii="黑体" w:hAnsi="黑体" w:eastAsia="黑体" w:cs="黑体"/>
          <w:b/>
          <w:bCs/>
          <w:sz w:val="24"/>
          <w:lang w:val="en-US" w:eastAsia="zh-CN"/>
        </w:rPr>
        <w:t>20</w:t>
      </w:r>
      <w:r>
        <w:rPr>
          <w:rFonts w:hint="eastAsia" w:ascii="黑体" w:hAnsi="黑体" w:eastAsia="黑体" w:cs="黑体"/>
          <w:b/>
          <w:bCs/>
          <w:sz w:val="24"/>
        </w:rPr>
        <w:t>分）</w:t>
      </w:r>
    </w:p>
    <w:p w14:paraId="00159460">
      <w:pPr>
        <w:pStyle w:val="10"/>
        <w:spacing w:line="400" w:lineRule="exact"/>
        <w:rPr>
          <w:rFonts w:ascii="黑体" w:hAnsi="黑体" w:eastAsia="黑体" w:cs="黑体"/>
          <w:b/>
          <w:bCs/>
          <w:spacing w:val="-2"/>
          <w:szCs w:val="24"/>
        </w:rPr>
      </w:pPr>
      <w:r>
        <w:rPr>
          <w:rFonts w:ascii="黑体" w:hAnsi="黑体" w:eastAsia="黑体" w:cs="黑体"/>
          <w:b/>
          <w:bCs/>
          <w:spacing w:val="-2"/>
          <w:szCs w:val="24"/>
        </w:rPr>
        <w:t>A-b PLC线路信号故障排除及搭建（根据周边设备的实际 I/O 信号控制情况，在</w:t>
      </w:r>
    </w:p>
    <w:p w14:paraId="56E9D21C">
      <w:pPr>
        <w:pStyle w:val="10"/>
        <w:spacing w:line="400" w:lineRule="exact"/>
        <w:rPr>
          <w:rFonts w:ascii="黑体" w:hAnsi="黑体" w:eastAsia="黑体" w:cs="黑体"/>
          <w:b/>
          <w:bCs/>
          <w:spacing w:val="-2"/>
          <w:szCs w:val="24"/>
        </w:rPr>
      </w:pPr>
      <w:r>
        <w:rPr>
          <w:rFonts w:ascii="黑体" w:hAnsi="黑体" w:eastAsia="黑体" w:cs="黑体"/>
          <w:b/>
          <w:bCs/>
          <w:spacing w:val="-2"/>
          <w:szCs w:val="24"/>
        </w:rPr>
        <w:t>工作站中搭建连线。）（1</w:t>
      </w:r>
      <w:r>
        <w:rPr>
          <w:rFonts w:hint="eastAsia" w:ascii="黑体" w:hAnsi="黑体" w:eastAsia="黑体" w:cs="黑体"/>
          <w:b/>
          <w:bCs/>
          <w:spacing w:val="-2"/>
          <w:szCs w:val="24"/>
          <w:lang w:val="en-US" w:eastAsia="zh-CN"/>
        </w:rPr>
        <w:t>5</w:t>
      </w:r>
      <w:r>
        <w:rPr>
          <w:rFonts w:ascii="黑体" w:hAnsi="黑体" w:eastAsia="黑体" w:cs="黑体"/>
          <w:b/>
          <w:bCs/>
          <w:spacing w:val="-2"/>
          <w:szCs w:val="24"/>
        </w:rPr>
        <w:t>分）</w:t>
      </w:r>
    </w:p>
    <w:p w14:paraId="632E4E98">
      <w:pPr>
        <w:pStyle w:val="10"/>
        <w:spacing w:line="400" w:lineRule="exact"/>
        <w:ind w:firstLine="480" w:firstLineChars="200"/>
        <w:rPr>
          <w:rFonts w:ascii="仿宋" w:hAnsi="仿宋" w:eastAsia="仿宋" w:cs="仿宋"/>
          <w:color w:val="auto"/>
          <w:kern w:val="2"/>
          <w:szCs w:val="24"/>
        </w:rPr>
      </w:pPr>
      <w:r>
        <w:rPr>
          <w:rFonts w:ascii="仿宋" w:hAnsi="仿宋" w:eastAsia="仿宋" w:cs="仿宋"/>
          <w:color w:val="auto"/>
          <w:kern w:val="2"/>
          <w:szCs w:val="24"/>
        </w:rPr>
        <w:t>根据PLC周边设备的实际I/O信号控制情况（见图1），在工作站中搭建连线。选手使用正确的工具和仪表检查完善周边设备的传感器I/O信号连接。</w:t>
      </w:r>
    </w:p>
    <w:p w14:paraId="0289FD35">
      <w:pPr>
        <w:pStyle w:val="10"/>
      </w:pPr>
      <w:r>
        <w:drawing>
          <wp:inline distT="0" distB="0" distL="114300" distR="114300">
            <wp:extent cx="2443480" cy="1082675"/>
            <wp:effectExtent l="0" t="0" r="4445" b="3175"/>
            <wp:docPr id="33" name="图片 33" descr="bbffe1b5c0d5a50fcf8f7817898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bffe1b5c0d5a50fcf8f78178980f43"/>
                    <pic:cNvPicPr>
                      <a:picLocks noChangeAspect="1"/>
                    </pic:cNvPicPr>
                  </pic:nvPicPr>
                  <pic:blipFill>
                    <a:blip r:embed="rId20"/>
                    <a:stretch>
                      <a:fillRect/>
                    </a:stretch>
                  </pic:blipFill>
                  <pic:spPr>
                    <a:xfrm>
                      <a:off x="0" y="0"/>
                      <a:ext cx="2443480" cy="1082675"/>
                    </a:xfrm>
                    <a:prstGeom prst="rect">
                      <a:avLst/>
                    </a:prstGeom>
                  </pic:spPr>
                </pic:pic>
              </a:graphicData>
            </a:graphic>
          </wp:inline>
        </w:drawing>
      </w:r>
      <w:r>
        <w:drawing>
          <wp:inline distT="0" distB="0" distL="114300" distR="114300">
            <wp:extent cx="2466340" cy="965200"/>
            <wp:effectExtent l="0" t="0" r="635" b="6350"/>
            <wp:docPr id="34" name="图片 34" descr="5a172c63ad6b887914b28ad49151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172c63ad6b887914b28ad49151e99"/>
                    <pic:cNvPicPr>
                      <a:picLocks noChangeAspect="1"/>
                    </pic:cNvPicPr>
                  </pic:nvPicPr>
                  <pic:blipFill>
                    <a:blip r:embed="rId21"/>
                    <a:stretch>
                      <a:fillRect/>
                    </a:stretch>
                  </pic:blipFill>
                  <pic:spPr>
                    <a:xfrm>
                      <a:off x="0" y="0"/>
                      <a:ext cx="2466340" cy="965200"/>
                    </a:xfrm>
                    <a:prstGeom prst="rect">
                      <a:avLst/>
                    </a:prstGeom>
                  </pic:spPr>
                </pic:pic>
              </a:graphicData>
            </a:graphic>
          </wp:inline>
        </w:drawing>
      </w:r>
      <w:r>
        <w:drawing>
          <wp:inline distT="0" distB="0" distL="114300" distR="114300">
            <wp:extent cx="2657475" cy="1638300"/>
            <wp:effectExtent l="0" t="0" r="0" b="0"/>
            <wp:docPr id="35" name="图片 35" descr="fd958678e76399cc208e97c81a1b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d958678e76399cc208e97c81a1bc77"/>
                    <pic:cNvPicPr>
                      <a:picLocks noChangeAspect="1"/>
                    </pic:cNvPicPr>
                  </pic:nvPicPr>
                  <pic:blipFill>
                    <a:blip r:embed="rId22"/>
                    <a:stretch>
                      <a:fillRect/>
                    </a:stretch>
                  </pic:blipFill>
                  <pic:spPr>
                    <a:xfrm>
                      <a:off x="0" y="0"/>
                      <a:ext cx="2657475" cy="1638300"/>
                    </a:xfrm>
                    <a:prstGeom prst="rect">
                      <a:avLst/>
                    </a:prstGeom>
                  </pic:spPr>
                </pic:pic>
              </a:graphicData>
            </a:graphic>
          </wp:inline>
        </w:drawing>
      </w:r>
      <w:r>
        <w:drawing>
          <wp:inline distT="0" distB="0" distL="114300" distR="114300">
            <wp:extent cx="2581275" cy="741680"/>
            <wp:effectExtent l="0" t="0" r="0" b="1270"/>
            <wp:docPr id="36" name="图片 36" descr="d8216a9113739541add15dcb6e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8216a9113739541add15dcb6e19958"/>
                    <pic:cNvPicPr>
                      <a:picLocks noChangeAspect="1"/>
                    </pic:cNvPicPr>
                  </pic:nvPicPr>
                  <pic:blipFill>
                    <a:blip r:embed="rId23"/>
                    <a:stretch>
                      <a:fillRect/>
                    </a:stretch>
                  </pic:blipFill>
                  <pic:spPr>
                    <a:xfrm>
                      <a:off x="0" y="0"/>
                      <a:ext cx="2581275" cy="741680"/>
                    </a:xfrm>
                    <a:prstGeom prst="rect">
                      <a:avLst/>
                    </a:prstGeom>
                  </pic:spPr>
                </pic:pic>
              </a:graphicData>
            </a:graphic>
          </wp:inline>
        </w:drawing>
      </w:r>
    </w:p>
    <w:p w14:paraId="02C38185">
      <w:pPr>
        <w:pStyle w:val="10"/>
        <w:ind w:firstLine="480" w:firstLineChars="200"/>
      </w:pPr>
      <w:r>
        <w:drawing>
          <wp:inline distT="0" distB="0" distL="114300" distR="114300">
            <wp:extent cx="2251075" cy="2700655"/>
            <wp:effectExtent l="0" t="0" r="6350" b="4445"/>
            <wp:docPr id="37" name="图片 37" descr="22e285169e39579a2a4c5903dba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2e285169e39579a2a4c5903dba0974"/>
                    <pic:cNvPicPr>
                      <a:picLocks noChangeAspect="1"/>
                    </pic:cNvPicPr>
                  </pic:nvPicPr>
                  <pic:blipFill>
                    <a:blip r:embed="rId24"/>
                    <a:stretch>
                      <a:fillRect/>
                    </a:stretch>
                  </pic:blipFill>
                  <pic:spPr>
                    <a:xfrm>
                      <a:off x="0" y="0"/>
                      <a:ext cx="2255774" cy="2705609"/>
                    </a:xfrm>
                    <a:prstGeom prst="rect">
                      <a:avLst/>
                    </a:prstGeom>
                  </pic:spPr>
                </pic:pic>
              </a:graphicData>
            </a:graphic>
          </wp:inline>
        </w:drawing>
      </w:r>
      <w:r>
        <w:t xml:space="preserve">  </w:t>
      </w:r>
      <w:r>
        <w:drawing>
          <wp:inline distT="0" distB="0" distL="114300" distR="114300">
            <wp:extent cx="2266950" cy="2352675"/>
            <wp:effectExtent l="0" t="0" r="0" b="0"/>
            <wp:docPr id="38" name="图片 38" descr="639fc2608e25b0941a9d1f9b534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39fc2608e25b0941a9d1f9b534ed23"/>
                    <pic:cNvPicPr>
                      <a:picLocks noChangeAspect="1"/>
                    </pic:cNvPicPr>
                  </pic:nvPicPr>
                  <pic:blipFill>
                    <a:blip r:embed="rId25"/>
                    <a:stretch>
                      <a:fillRect/>
                    </a:stretch>
                  </pic:blipFill>
                  <pic:spPr>
                    <a:xfrm>
                      <a:off x="0" y="0"/>
                      <a:ext cx="2266950" cy="2352675"/>
                    </a:xfrm>
                    <a:prstGeom prst="rect">
                      <a:avLst/>
                    </a:prstGeom>
                  </pic:spPr>
                </pic:pic>
              </a:graphicData>
            </a:graphic>
          </wp:inline>
        </w:drawing>
      </w:r>
    </w:p>
    <w:p w14:paraId="214C85B1">
      <w:pPr>
        <w:widowControl/>
        <w:jc w:val="center"/>
        <w:rPr>
          <w:rFonts w:hint="eastAsia" w:ascii="黑体" w:hAnsi="黑体" w:eastAsia="黑体" w:cs="黑体"/>
          <w:color w:val="000000"/>
          <w:kern w:val="0"/>
          <w:sz w:val="28"/>
          <w:szCs w:val="28"/>
          <w:lang w:bidi="ar"/>
        </w:rPr>
      </w:pPr>
      <w:r>
        <w:rPr>
          <w:rFonts w:hint="eastAsia" w:ascii="黑体" w:hAnsi="黑体" w:eastAsia="黑体" w:cs="黑体"/>
          <w:color w:val="000000"/>
          <w:kern w:val="0"/>
          <w:sz w:val="28"/>
          <w:szCs w:val="28"/>
          <w:lang w:bidi="ar"/>
        </w:rPr>
        <w:t>图1  PLC周边设备I/O信号图</w:t>
      </w:r>
    </w:p>
    <w:p w14:paraId="0FB18E86">
      <w:pPr>
        <w:pStyle w:val="10"/>
        <w:rPr>
          <w:rFonts w:ascii="黑体" w:hAnsi="黑体" w:eastAsia="黑体" w:cs="黑体"/>
          <w:b/>
          <w:bCs/>
          <w:spacing w:val="-2"/>
          <w:szCs w:val="24"/>
        </w:rPr>
      </w:pPr>
      <w: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33655</wp:posOffset>
                </wp:positionV>
                <wp:extent cx="5276215" cy="344170"/>
                <wp:effectExtent l="6350" t="6350" r="13335" b="11430"/>
                <wp:wrapNone/>
                <wp:docPr id="39" name="文本框 39"/>
                <wp:cNvGraphicFramePr/>
                <a:graphic xmlns:a="http://schemas.openxmlformats.org/drawingml/2006/main">
                  <a:graphicData uri="http://schemas.microsoft.com/office/word/2010/wordprocessingShape">
                    <wps:wsp>
                      <wps:cNvSpPr txBox="1"/>
                      <wps:spPr>
                        <a:xfrm>
                          <a:off x="1139190" y="948055"/>
                          <a:ext cx="5276215" cy="344170"/>
                        </a:xfrm>
                        <a:prstGeom prst="rect">
                          <a:avLst/>
                        </a:prstGeom>
                        <a:no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3F096F52">
                            <w:pPr>
                              <w:rPr>
                                <w:sz w:val="24"/>
                              </w:rPr>
                            </w:pPr>
                            <w:r>
                              <w:rPr>
                                <w:rFonts w:hint="eastAsia"/>
                                <w:sz w:val="24"/>
                              </w:rPr>
                              <w:t>注意：完成第一部分操作后需要举手示意，经技术查验后工作站方可上电。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3pt;margin-top:2.65pt;height:27.1pt;width:415.45pt;z-index:251660288;v-text-anchor:middle;mso-width-relative:page;mso-height-relative:page;" filled="f" stroked="t" coordsize="21600,21600" o:gfxdata="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oqQ7WAAAABgEAAA8AAAAAAAAAAQAgAAAAIgAAAGRycy9kb3ducmV2&#10;LnhtbFBLAQIUABQAAAAIAIdO4kDtwzZLcAIAAMMEAAAOAAAAAAAAAAEAIAAAACUBAABkcnMvZTJv&#10;RG9jLnhtbFBLBQYAAAAABgAGAFkBAAAHBgAAAAA=&#10;">
                <v:fill on="f" focussize="0,0"/>
                <v:stroke weight="1pt" color="#000000 [3213]" joinstyle="round"/>
                <v:imagedata o:title=""/>
                <o:lock v:ext="edit" aspectratio="f"/>
                <v:textbox>
                  <w:txbxContent>
                    <w:p w14:paraId="3F096F52">
                      <w:pPr>
                        <w:rPr>
                          <w:sz w:val="24"/>
                        </w:rPr>
                      </w:pPr>
                      <w:r>
                        <w:rPr>
                          <w:rFonts w:hint="eastAsia"/>
                          <w:sz w:val="24"/>
                        </w:rPr>
                        <w:t>注意：完成第一部分操作后需要举手示意，经技术查验后工作站方可上电。</w:t>
                      </w:r>
                    </w:p>
                  </w:txbxContent>
                </v:textbox>
              </v:shape>
            </w:pict>
          </mc:Fallback>
        </mc:AlternateContent>
      </w:r>
    </w:p>
    <w:p w14:paraId="29B5517F">
      <w:pPr>
        <w:pStyle w:val="10"/>
        <w:rPr>
          <w:rFonts w:ascii="黑体" w:hAnsi="黑体" w:eastAsia="黑体" w:cs="黑体"/>
          <w:b/>
          <w:bCs/>
          <w:spacing w:val="-2"/>
          <w:szCs w:val="24"/>
        </w:rPr>
      </w:pPr>
    </w:p>
    <w:p w14:paraId="2C042C10">
      <w:pPr>
        <w:pStyle w:val="2"/>
        <w:spacing w:before="0" w:after="0" w:line="500" w:lineRule="exact"/>
        <w:jc w:val="both"/>
        <w:rPr>
          <w:rFonts w:hint="eastAsia" w:ascii="宋体" w:hAnsi="宋体" w:eastAsia="宋体" w:cs="宋体"/>
        </w:rPr>
      </w:pPr>
      <w:r>
        <w:rPr>
          <w:rFonts w:hint="eastAsia" w:ascii="宋体" w:hAnsi="宋体" w:eastAsia="宋体" w:cs="宋体"/>
        </w:rPr>
        <w:t>B工业过程自动化仿真（1</w:t>
      </w:r>
      <w:r>
        <w:rPr>
          <w:rFonts w:hint="eastAsia" w:ascii="宋体" w:hAnsi="宋体" w:eastAsia="宋体" w:cs="宋体"/>
          <w:lang w:val="en-US" w:eastAsia="zh-CN"/>
        </w:rPr>
        <w:t>5</w:t>
      </w:r>
      <w:r>
        <w:rPr>
          <w:rFonts w:hint="eastAsia" w:ascii="宋体" w:hAnsi="宋体" w:eastAsia="宋体" w:cs="宋体"/>
        </w:rPr>
        <w:t>分）</w:t>
      </w:r>
    </w:p>
    <w:p w14:paraId="371B1AC2">
      <w:pPr>
        <w:pStyle w:val="3"/>
        <w:spacing w:before="0" w:after="0" w:line="400" w:lineRule="exact"/>
        <w:jc w:val="left"/>
        <w:rPr>
          <w:rFonts w:hint="eastAsia" w:ascii="黑体" w:hAnsi="黑体" w:cs="黑体"/>
          <w:sz w:val="24"/>
          <w:szCs w:val="21"/>
        </w:rPr>
      </w:pPr>
      <w:r>
        <w:rPr>
          <w:rFonts w:hint="eastAsia" w:ascii="黑体" w:hAnsi="黑体" w:cs="黑体"/>
          <w:sz w:val="24"/>
          <w:szCs w:val="21"/>
        </w:rPr>
        <w:t>B-a工作站周边设备仿真及布局（根据工业机器人、周边设备和工具的实用意义，在仿真软件中完成相关应用的定义。）（</w:t>
      </w:r>
      <w:r>
        <w:rPr>
          <w:rFonts w:hint="eastAsia" w:ascii="黑体" w:hAnsi="黑体" w:cs="黑体"/>
          <w:sz w:val="24"/>
          <w:szCs w:val="21"/>
          <w:lang w:val="en-US" w:eastAsia="zh-CN"/>
        </w:rPr>
        <w:t>10</w:t>
      </w:r>
      <w:r>
        <w:rPr>
          <w:rFonts w:hint="eastAsia" w:ascii="黑体" w:hAnsi="黑体" w:cs="黑体"/>
          <w:sz w:val="24"/>
          <w:szCs w:val="21"/>
        </w:rPr>
        <w:t>分）</w:t>
      </w:r>
    </w:p>
    <w:p w14:paraId="25DE601E">
      <w:pPr>
        <w:pStyle w:val="10"/>
        <w:spacing w:line="400" w:lineRule="exact"/>
        <w:ind w:firstLine="480" w:firstLineChars="200"/>
        <w:rPr>
          <w:rFonts w:ascii="仿宋" w:hAnsi="仿宋" w:eastAsia="仿宋" w:cs="仿宋"/>
          <w:bCs/>
          <w:szCs w:val="24"/>
        </w:rPr>
      </w:pPr>
      <w:r>
        <w:rPr>
          <w:rFonts w:ascii="仿宋" w:hAnsi="仿宋" w:eastAsia="仿宋" w:cs="仿宋"/>
          <w:bCs/>
          <w:szCs w:val="24"/>
        </w:rPr>
        <w:t xml:space="preserve">任务描述：本任务在仿真软件HUICHENG CAM完成。选手根据提供的模型，在软件中导入模型，完成工业机器人系统作业场景中各个模块的定义及运动设置。 </w:t>
      </w:r>
    </w:p>
    <w:p w14:paraId="5F1A17FE">
      <w:pPr>
        <w:pStyle w:val="10"/>
        <w:spacing w:line="400" w:lineRule="exact"/>
        <w:ind w:firstLine="480" w:firstLineChars="200"/>
        <w:rPr>
          <w:rFonts w:ascii="仿宋" w:hAnsi="仿宋" w:eastAsia="仿宋" w:cs="仿宋"/>
          <w:bCs/>
          <w:szCs w:val="24"/>
        </w:rPr>
      </w:pPr>
      <w:r>
        <w:rPr>
          <w:rFonts w:ascii="仿宋" w:hAnsi="仿宋" w:eastAsia="仿宋" w:cs="仿宋"/>
          <w:bCs/>
          <w:szCs w:val="24"/>
        </w:rPr>
        <w:t xml:space="preserve">1.工作站台面周边设备硬件定义动态效果要求： </w:t>
      </w:r>
    </w:p>
    <w:p w14:paraId="071754DA">
      <w:pPr>
        <w:pStyle w:val="10"/>
        <w:spacing w:line="400" w:lineRule="exact"/>
        <w:ind w:firstLine="480" w:firstLineChars="200"/>
        <w:rPr>
          <w:rFonts w:ascii="仿宋" w:hAnsi="仿宋" w:eastAsia="仿宋" w:cs="仿宋"/>
          <w:bCs/>
          <w:szCs w:val="24"/>
        </w:rPr>
      </w:pPr>
      <w:r>
        <w:rPr>
          <w:rFonts w:ascii="仿宋" w:hAnsi="仿宋" w:eastAsia="仿宋" w:cs="仿宋"/>
          <w:bCs/>
          <w:szCs w:val="24"/>
        </w:rPr>
        <w:t xml:space="preserve">（1）快换工具（夹爪）双侧的定义，完整无报错； </w:t>
      </w:r>
    </w:p>
    <w:p w14:paraId="251EE00D">
      <w:pPr>
        <w:pStyle w:val="10"/>
        <w:spacing w:line="400" w:lineRule="exact"/>
        <w:ind w:firstLine="480" w:firstLineChars="200"/>
        <w:rPr>
          <w:rFonts w:ascii="仿宋" w:hAnsi="仿宋" w:eastAsia="仿宋" w:cs="仿宋"/>
          <w:bCs/>
          <w:szCs w:val="24"/>
        </w:rPr>
      </w:pPr>
      <w:r>
        <w:rPr>
          <w:rFonts w:ascii="仿宋" w:hAnsi="仿宋" w:eastAsia="仿宋" w:cs="仿宋"/>
          <w:bCs/>
          <w:szCs w:val="24"/>
        </w:rPr>
        <w:t>（2）机器人定义完整，运动正常。</w:t>
      </w:r>
    </w:p>
    <w:p w14:paraId="2C8616AF">
      <w:pPr>
        <w:pStyle w:val="10"/>
        <w:spacing w:line="400" w:lineRule="exact"/>
        <w:ind w:firstLine="480" w:firstLineChars="200"/>
        <w:rPr>
          <w:rFonts w:ascii="仿宋" w:hAnsi="仿宋" w:eastAsia="仿宋" w:cs="仿宋"/>
          <w:bCs/>
          <w:szCs w:val="24"/>
        </w:rPr>
      </w:pPr>
      <w:r>
        <w:rPr>
          <w:rFonts w:ascii="仿宋" w:hAnsi="仿宋" w:eastAsia="仿宋" w:cs="仿宋"/>
          <w:bCs/>
          <w:szCs w:val="24"/>
        </w:rPr>
        <w:t>2.工作站台面周边设备硬件定义动态效果要求：</w:t>
      </w:r>
    </w:p>
    <w:p w14:paraId="2F2107C0">
      <w:pPr>
        <w:pStyle w:val="10"/>
        <w:spacing w:line="400" w:lineRule="exact"/>
        <w:ind w:firstLine="480" w:firstLineChars="200"/>
        <w:rPr>
          <w:rFonts w:ascii="仿宋" w:hAnsi="仿宋" w:eastAsia="仿宋" w:cs="仿宋"/>
          <w:bCs/>
          <w:szCs w:val="24"/>
        </w:rPr>
      </w:pPr>
      <w:r>
        <w:rPr>
          <w:rFonts w:ascii="仿宋" w:hAnsi="仿宋" w:eastAsia="仿宋" w:cs="仿宋"/>
          <w:bCs/>
          <w:szCs w:val="24"/>
        </w:rPr>
        <w:t>（1）立体库1、2、3、4可进行伸缩；</w:t>
      </w:r>
    </w:p>
    <w:p w14:paraId="213311DD">
      <w:pPr>
        <w:pStyle w:val="10"/>
        <w:spacing w:line="400" w:lineRule="exact"/>
        <w:ind w:firstLine="480" w:firstLineChars="200"/>
        <w:rPr>
          <w:rFonts w:ascii="仿宋" w:hAnsi="仿宋" w:eastAsia="仿宋" w:cs="仿宋"/>
          <w:bCs/>
          <w:szCs w:val="24"/>
        </w:rPr>
      </w:pPr>
      <w:r>
        <w:rPr>
          <w:rFonts w:ascii="仿宋" w:hAnsi="仿宋" w:eastAsia="仿宋" w:cs="仿宋"/>
          <w:bCs/>
          <w:szCs w:val="24"/>
        </w:rPr>
        <w:t>（2）井式模块可推动物料到达指定位置；</w:t>
      </w:r>
    </w:p>
    <w:p w14:paraId="3F411F35">
      <w:pPr>
        <w:pStyle w:val="10"/>
        <w:spacing w:line="400" w:lineRule="exact"/>
        <w:ind w:firstLine="480" w:firstLineChars="200"/>
        <w:rPr>
          <w:rFonts w:ascii="仿宋" w:hAnsi="仿宋" w:eastAsia="仿宋" w:cs="仿宋"/>
          <w:bCs/>
          <w:szCs w:val="24"/>
        </w:rPr>
      </w:pPr>
      <w:r>
        <w:rPr>
          <w:rFonts w:ascii="仿宋" w:hAnsi="仿宋" w:eastAsia="仿宋" w:cs="仿宋"/>
          <w:bCs/>
          <w:szCs w:val="24"/>
        </w:rPr>
        <w:t>（3）传送带可进行物料输送；</w:t>
      </w:r>
    </w:p>
    <w:p w14:paraId="4056F884">
      <w:pPr>
        <w:pStyle w:val="10"/>
        <w:spacing w:line="400" w:lineRule="exact"/>
        <w:ind w:firstLine="480" w:firstLineChars="200"/>
        <w:rPr>
          <w:rFonts w:ascii="仿宋" w:hAnsi="仿宋" w:eastAsia="仿宋" w:cs="仿宋"/>
          <w:bCs/>
          <w:szCs w:val="24"/>
        </w:rPr>
      </w:pPr>
      <w:r>
        <w:rPr>
          <w:rFonts w:ascii="仿宋" w:hAnsi="仿宋" w:eastAsia="仿宋" w:cs="仿宋"/>
          <w:bCs/>
          <w:szCs w:val="24"/>
        </w:rPr>
        <w:t>（4）转盘可进行转动；</w:t>
      </w:r>
    </w:p>
    <w:p w14:paraId="6388A5A2">
      <w:pPr>
        <w:pStyle w:val="10"/>
        <w:spacing w:line="400" w:lineRule="exact"/>
        <w:ind w:firstLine="480" w:firstLineChars="200"/>
        <w:rPr>
          <w:rFonts w:ascii="仿宋" w:hAnsi="仿宋" w:eastAsia="仿宋" w:cs="仿宋"/>
          <w:bCs/>
          <w:szCs w:val="24"/>
        </w:rPr>
      </w:pPr>
      <w:r>
        <w:rPr>
          <w:rFonts w:ascii="仿宋" w:hAnsi="仿宋" w:eastAsia="仿宋" w:cs="仿宋"/>
          <w:bCs/>
          <w:szCs w:val="24"/>
        </w:rPr>
        <w:t>（5）装配模块可进行伸缩固定物料。</w:t>
      </w:r>
    </w:p>
    <w:p w14:paraId="0C473536">
      <w:pPr>
        <w:pStyle w:val="10"/>
        <w:spacing w:line="400" w:lineRule="exact"/>
        <w:rPr>
          <w:rFonts w:ascii="黑体" w:hAnsi="黑体" w:eastAsia="黑体" w:cs="黑体"/>
          <w:b/>
          <w:bCs/>
          <w:szCs w:val="24"/>
        </w:rPr>
      </w:pPr>
      <w:r>
        <w:rPr>
          <w:rFonts w:ascii="黑体" w:hAnsi="黑体" w:eastAsia="黑体" w:cs="黑体"/>
          <w:b/>
          <w:bCs/>
          <w:szCs w:val="24"/>
        </w:rPr>
        <w:t>B-b绘图任务仿真运行（演示仿真绘图模型生成的路径和程序，此处模型为指定模型。）（5分）</w:t>
      </w:r>
    </w:p>
    <w:p w14:paraId="22D107AD">
      <w:pPr>
        <w:ind w:firstLine="420" w:firstLineChars="200"/>
        <w:jc w:val="left"/>
      </w:pPr>
      <w:r>
        <w:drawing>
          <wp:anchor distT="0" distB="0" distL="114300" distR="114300" simplePos="0" relativeHeight="251661312" behindDoc="0" locked="0" layoutInCell="1" allowOverlap="1">
            <wp:simplePos x="0" y="0"/>
            <wp:positionH relativeFrom="column">
              <wp:posOffset>-33655</wp:posOffset>
            </wp:positionH>
            <wp:positionV relativeFrom="paragraph">
              <wp:posOffset>86995</wp:posOffset>
            </wp:positionV>
            <wp:extent cx="5772150" cy="3448050"/>
            <wp:effectExtent l="0" t="0" r="0" b="0"/>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6"/>
                    <a:stretch>
                      <a:fillRect/>
                    </a:stretch>
                  </pic:blipFill>
                  <pic:spPr>
                    <a:xfrm>
                      <a:off x="0" y="0"/>
                      <a:ext cx="5772150" cy="3448050"/>
                    </a:xfrm>
                    <a:prstGeom prst="rect">
                      <a:avLst/>
                    </a:prstGeom>
                    <a:noFill/>
                    <a:ln>
                      <a:noFill/>
                    </a:ln>
                  </pic:spPr>
                </pic:pic>
              </a:graphicData>
            </a:graphic>
          </wp:anchor>
        </w:drawing>
      </w:r>
    </w:p>
    <w:p w14:paraId="48202E05">
      <w:pPr>
        <w:pStyle w:val="10"/>
        <w:spacing w:line="400" w:lineRule="exact"/>
        <w:ind w:firstLine="480" w:firstLineChars="200"/>
        <w:rPr>
          <w:rFonts w:hint="eastAsia" w:ascii="仿宋" w:hAnsi="仿宋" w:eastAsia="仿宋" w:cs="仿宋"/>
          <w:bCs/>
          <w:szCs w:val="24"/>
        </w:rPr>
      </w:pPr>
      <w:r>
        <w:rPr>
          <w:rFonts w:ascii="仿宋" w:hAnsi="仿宋" w:eastAsia="仿宋" w:cs="仿宋"/>
          <w:bCs/>
          <w:szCs w:val="24"/>
        </w:rPr>
        <w:t>导入</w:t>
      </w:r>
      <w:r>
        <w:rPr>
          <w:rFonts w:hint="eastAsia" w:ascii="仿宋" w:hAnsi="仿宋" w:eastAsia="仿宋" w:cs="仿宋"/>
          <w:bCs/>
          <w:szCs w:val="24"/>
        </w:rPr>
        <w:t>模型库中的</w:t>
      </w:r>
      <w:r>
        <w:rPr>
          <w:rFonts w:ascii="仿宋" w:hAnsi="仿宋" w:eastAsia="仿宋" w:cs="仿宋"/>
          <w:bCs/>
          <w:szCs w:val="24"/>
        </w:rPr>
        <w:t>仿真绘图模型，生成</w:t>
      </w:r>
      <w:r>
        <w:rPr>
          <w:rFonts w:hint="eastAsia" w:ascii="仿宋" w:hAnsi="仿宋" w:eastAsia="仿宋" w:cs="仿宋"/>
          <w:bCs/>
          <w:szCs w:val="24"/>
        </w:rPr>
        <w:t>绘图模型</w:t>
      </w:r>
      <w:r>
        <w:rPr>
          <w:rFonts w:ascii="仿宋" w:hAnsi="仿宋" w:eastAsia="仿宋" w:cs="仿宋"/>
          <w:bCs/>
          <w:szCs w:val="24"/>
        </w:rPr>
        <w:t>仿真路径及运行程序，并开展仿真验证工作。</w:t>
      </w:r>
    </w:p>
    <w:p w14:paraId="15925C2C">
      <w:pPr>
        <w:pStyle w:val="2"/>
        <w:spacing w:before="0" w:after="0" w:line="500" w:lineRule="exact"/>
        <w:jc w:val="left"/>
      </w:pPr>
      <w:r>
        <w:rPr>
          <w:rFonts w:hint="eastAsia" w:ascii="宋体" w:hAnsi="宋体" w:eastAsia="宋体" w:cs="宋体"/>
        </w:rPr>
        <w:t>C工业机器人参数设置及通讯（</w:t>
      </w:r>
      <w:r>
        <w:rPr>
          <w:rFonts w:hint="eastAsia" w:ascii="宋体" w:hAnsi="宋体" w:eastAsia="宋体" w:cs="宋体"/>
          <w:lang w:val="en-US" w:eastAsia="zh-CN"/>
        </w:rPr>
        <w:t>30</w:t>
      </w:r>
      <w:r>
        <w:rPr>
          <w:rFonts w:hint="eastAsia" w:ascii="宋体" w:hAnsi="宋体" w:eastAsia="宋体" w:cs="宋体"/>
        </w:rPr>
        <w:t>分）</w:t>
      </w:r>
    </w:p>
    <w:p w14:paraId="2AE6BC1B">
      <w:pPr>
        <w:pStyle w:val="3"/>
        <w:spacing w:before="0" w:after="0" w:line="400" w:lineRule="exact"/>
        <w:jc w:val="left"/>
        <w:rPr>
          <w:rFonts w:hint="eastAsia" w:ascii="黑体" w:hAnsi="黑体" w:cs="黑体"/>
          <w:sz w:val="24"/>
        </w:rPr>
      </w:pPr>
      <w:r>
        <w:rPr>
          <w:rFonts w:hint="eastAsia" w:ascii="黑体" w:hAnsi="黑体" w:cs="黑体"/>
          <w:sz w:val="24"/>
        </w:rPr>
        <w:t>C-a 工业机器人操作维护及零点设置（检测工业机器人运行是否正常，检查急停和使能，完成工业机器人典型安装、维护、维修等操作。）（1</w:t>
      </w:r>
      <w:r>
        <w:rPr>
          <w:rFonts w:hint="eastAsia" w:ascii="黑体" w:hAnsi="黑体" w:cs="黑体"/>
          <w:sz w:val="24"/>
          <w:lang w:val="en-US" w:eastAsia="zh-CN"/>
        </w:rPr>
        <w:t>5</w:t>
      </w:r>
      <w:r>
        <w:rPr>
          <w:rFonts w:hint="eastAsia" w:ascii="黑体" w:hAnsi="黑体" w:cs="黑体"/>
          <w:sz w:val="24"/>
        </w:rPr>
        <w:t>分）</w:t>
      </w:r>
    </w:p>
    <w:p w14:paraId="70CB3385">
      <w:pPr>
        <w:pStyle w:val="10"/>
        <w:spacing w:line="400" w:lineRule="exact"/>
        <w:ind w:firstLine="480" w:firstLineChars="200"/>
        <w:rPr>
          <w:rFonts w:ascii="仿宋" w:hAnsi="仿宋" w:eastAsia="仿宋" w:cs="仿宋"/>
          <w:bCs/>
          <w:szCs w:val="24"/>
        </w:rPr>
      </w:pPr>
      <w:r>
        <w:rPr>
          <w:rFonts w:ascii="仿宋" w:hAnsi="仿宋" w:eastAsia="仿宋" w:cs="仿宋"/>
          <w:bCs/>
          <w:szCs w:val="24"/>
        </w:rPr>
        <w:t>1.检查高速运行时机器人本体各轴的漏油或渗油状况，并进行问题判定。</w:t>
      </w:r>
    </w:p>
    <w:p w14:paraId="3E845BBE">
      <w:pPr>
        <w:pStyle w:val="10"/>
        <w:spacing w:line="400" w:lineRule="exact"/>
        <w:ind w:firstLine="480" w:firstLineChars="200"/>
        <w:rPr>
          <w:rFonts w:ascii="仿宋" w:hAnsi="仿宋" w:eastAsia="仿宋" w:cs="仿宋"/>
          <w:bCs/>
          <w:szCs w:val="24"/>
        </w:rPr>
      </w:pPr>
      <w:r>
        <w:rPr>
          <w:rFonts w:ascii="仿宋" w:hAnsi="仿宋" w:eastAsia="仿宋" w:cs="仿宋"/>
          <w:bCs/>
          <w:szCs w:val="24"/>
        </w:rPr>
        <w:t>2.系统上电，检查机器人启动是否正常；机器人启动异常时，在示教器上检查报警状态，消除报警。</w:t>
      </w:r>
    </w:p>
    <w:p w14:paraId="76C06D8C">
      <w:pPr>
        <w:pStyle w:val="10"/>
        <w:spacing w:line="400" w:lineRule="exact"/>
        <w:ind w:firstLine="480" w:firstLineChars="200"/>
        <w:rPr>
          <w:rFonts w:ascii="仿宋" w:hAnsi="仿宋" w:eastAsia="仿宋" w:cs="仿宋"/>
          <w:bCs/>
          <w:szCs w:val="24"/>
        </w:rPr>
      </w:pPr>
      <w:r>
        <w:rPr>
          <w:rFonts w:ascii="仿宋" w:hAnsi="仿宋" w:eastAsia="仿宋" w:cs="仿宋"/>
          <w:bCs/>
          <w:szCs w:val="24"/>
        </w:rPr>
        <w:t>3.检查示教器急停功能、使能功能、显示功能、按键功能等的有效性。</w:t>
      </w:r>
    </w:p>
    <w:p w14:paraId="4F3798C8">
      <w:pPr>
        <w:pStyle w:val="10"/>
        <w:spacing w:line="400" w:lineRule="exact"/>
        <w:ind w:firstLine="480" w:firstLineChars="200"/>
        <w:rPr>
          <w:rFonts w:ascii="仿宋" w:hAnsi="仿宋" w:eastAsia="仿宋" w:cs="仿宋"/>
          <w:bCs/>
          <w:szCs w:val="24"/>
        </w:rPr>
      </w:pPr>
      <w:r>
        <w:rPr>
          <w:rFonts w:ascii="仿宋" w:hAnsi="仿宋" w:eastAsia="仿宋" w:cs="仿宋"/>
          <w:bCs/>
          <w:szCs w:val="24"/>
        </w:rPr>
        <w:t>4.系统零点校对，工业机器人 Home 点姿态为本体的 1 轴、2 轴、3 轴、4 轴、5 轴、6 轴的关节为0度。</w:t>
      </w:r>
    </w:p>
    <w:p w14:paraId="22ED137D">
      <w:pPr>
        <w:pStyle w:val="3"/>
        <w:spacing w:before="0" w:after="0" w:line="400" w:lineRule="exact"/>
        <w:jc w:val="left"/>
        <w:rPr>
          <w:rFonts w:hint="eastAsia" w:ascii="黑体" w:hAnsi="黑体" w:cs="黑体"/>
          <w:sz w:val="24"/>
        </w:rPr>
      </w:pPr>
      <w:r>
        <w:rPr>
          <w:rFonts w:hint="eastAsia" w:ascii="黑体" w:hAnsi="黑体" w:cs="黑体"/>
          <w:sz w:val="24"/>
        </w:rPr>
        <w:t>C-b 周边设备通讯控制与生产监控（</w:t>
      </w:r>
      <w:r>
        <w:rPr>
          <w:rFonts w:hint="eastAsia" w:ascii="黑体" w:hAnsi="黑体" w:cs="黑体"/>
          <w:sz w:val="24"/>
          <w:lang w:val="en-US" w:eastAsia="zh-CN"/>
        </w:rPr>
        <w:t>15</w:t>
      </w:r>
      <w:r>
        <w:rPr>
          <w:rFonts w:hint="eastAsia" w:ascii="黑体" w:hAnsi="黑体" w:cs="黑体"/>
          <w:sz w:val="24"/>
        </w:rPr>
        <w:t>分）</w:t>
      </w:r>
    </w:p>
    <w:p w14:paraId="7C116C49">
      <w:pPr>
        <w:pStyle w:val="10"/>
        <w:spacing w:line="400" w:lineRule="exact"/>
        <w:ind w:firstLine="480" w:firstLineChars="200"/>
        <w:rPr>
          <w:rFonts w:ascii="仿宋" w:hAnsi="仿宋" w:eastAsia="仿宋" w:cs="仿宋"/>
          <w:bCs/>
          <w:szCs w:val="24"/>
        </w:rPr>
      </w:pPr>
      <w:r>
        <w:rPr>
          <w:rFonts w:ascii="仿宋" w:hAnsi="仿宋" w:eastAsia="仿宋" w:cs="仿宋"/>
          <w:bCs/>
          <w:szCs w:val="24"/>
        </w:rPr>
        <w:t>运用博途软件完成PLC程序的编写、HMI画面的设计，并配置相应的机器人后台任务程序，完成下述硬件功能要求与画面设计任务。</w:t>
      </w:r>
    </w:p>
    <w:p w14:paraId="43743078">
      <w:pPr>
        <w:pStyle w:val="10"/>
        <w:spacing w:line="400" w:lineRule="exact"/>
        <w:ind w:firstLine="480" w:firstLineChars="200"/>
        <w:rPr>
          <w:rFonts w:ascii="仿宋" w:hAnsi="仿宋" w:eastAsia="仿宋" w:cs="仿宋"/>
          <w:bCs/>
          <w:szCs w:val="24"/>
        </w:rPr>
      </w:pPr>
      <w:r>
        <w:rPr>
          <w:rFonts w:ascii="仿宋" w:hAnsi="仿宋" w:eastAsia="仿宋" w:cs="仿宋"/>
          <w:bCs/>
          <w:szCs w:val="24"/>
        </w:rPr>
        <w:t>1.硬件功能要求：</w:t>
      </w:r>
    </w:p>
    <w:p w14:paraId="5B74407C">
      <w:pPr>
        <w:pStyle w:val="10"/>
        <w:spacing w:line="400" w:lineRule="exact"/>
        <w:ind w:firstLine="480" w:firstLineChars="200"/>
        <w:rPr>
          <w:rFonts w:ascii="仿宋" w:hAnsi="仿宋" w:eastAsia="仿宋" w:cs="仿宋"/>
          <w:bCs/>
          <w:szCs w:val="24"/>
        </w:rPr>
      </w:pPr>
      <w:r>
        <w:rPr>
          <w:rFonts w:ascii="仿宋" w:hAnsi="仿宋" w:eastAsia="仿宋" w:cs="仿宋"/>
          <w:bCs/>
          <w:szCs w:val="24"/>
        </w:rPr>
        <w:t>立体库上的四个传感器1、2、3、4检测到有物料入库时亮红灯，反之亮绿灯。</w:t>
      </w:r>
    </w:p>
    <w:p w14:paraId="15DACD89">
      <w:pPr>
        <w:pStyle w:val="10"/>
        <w:spacing w:line="400" w:lineRule="exact"/>
        <w:ind w:firstLine="480" w:firstLineChars="200"/>
        <w:rPr>
          <w:rFonts w:ascii="仿宋" w:hAnsi="仿宋" w:eastAsia="仿宋" w:cs="仿宋"/>
          <w:bCs/>
          <w:szCs w:val="24"/>
        </w:rPr>
      </w:pPr>
      <w:r>
        <w:rPr>
          <w:rFonts w:ascii="仿宋" w:hAnsi="仿宋" w:eastAsia="仿宋" w:cs="仿宋"/>
          <w:bCs/>
          <w:szCs w:val="24"/>
        </w:rPr>
        <w:t>2.画面功能要求：</w:t>
      </w:r>
    </w:p>
    <w:p w14:paraId="08C25AE3">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line="240" w:lineRule="auto"/>
        <w:ind w:left="0" w:leftChars="0" w:right="0" w:rightChars="0" w:firstLine="480" w:firstLineChars="200"/>
        <w:jc w:val="left"/>
        <w:textAlignment w:val="auto"/>
        <w:rPr>
          <w:rFonts w:ascii="仿宋" w:hAnsi="仿宋" w:eastAsia="仿宋" w:cs="仿宋"/>
          <w:bCs/>
          <w:szCs w:val="24"/>
        </w:rPr>
      </w:pPr>
      <w:r>
        <w:rPr>
          <w:rFonts w:ascii="仿宋" w:hAnsi="仿宋" w:eastAsia="仿宋" w:cs="仿宋"/>
          <w:bCs/>
          <w:szCs w:val="24"/>
        </w:rPr>
        <w:t>（1）按下HMI或者示教器相关按键，均可实现立体库1、2、3、4可伸缩，且HMI端状态指示按钮在气缸伸出状态下亮红灯，反之缩回状态下亮绿灯。</w:t>
      </w:r>
      <w:r>
        <w:rPr>
          <w:rFonts w:hint="eastAsia" w:ascii="仿宋" w:hAnsi="仿宋" w:eastAsia="仿宋" w:cs="仿宋"/>
          <w:bCs/>
          <w:szCs w:val="24"/>
          <w:lang w:val="en-US" w:eastAsia="zh-CN"/>
        </w:rPr>
        <w:t>同时HMI中设立体库传感器指示灯同步工作站中的状态指示灯，即有物料为红灯，无物料为绿灯。</w:t>
      </w:r>
    </w:p>
    <w:p w14:paraId="0A81A164">
      <w:pPr>
        <w:pStyle w:val="10"/>
        <w:spacing w:line="400" w:lineRule="exact"/>
        <w:ind w:firstLine="480" w:firstLineChars="200"/>
        <w:rPr>
          <w:rFonts w:ascii="仿宋" w:hAnsi="仿宋" w:eastAsia="仿宋" w:cs="仿宋"/>
          <w:bCs/>
          <w:szCs w:val="24"/>
        </w:rPr>
      </w:pPr>
      <w:r>
        <w:rPr>
          <w:rFonts w:ascii="仿宋" w:hAnsi="仿宋" w:eastAsia="仿宋" w:cs="仿宋"/>
          <w:bCs/>
          <w:szCs w:val="24"/>
        </w:rPr>
        <w:t>（2）按下HMI或者示教器相关按键，均可实现工具快换可更换不同工具；且HMI端状态指示按钮在快换夹紧状态下亮红灯，反之松开状态下亮绿灯。</w:t>
      </w:r>
    </w:p>
    <w:p w14:paraId="2A1920F8">
      <w:pPr>
        <w:pStyle w:val="10"/>
        <w:spacing w:line="400" w:lineRule="exact"/>
        <w:ind w:firstLine="480" w:firstLineChars="200"/>
        <w:rPr>
          <w:rFonts w:ascii="仿宋" w:hAnsi="仿宋" w:eastAsia="仿宋" w:cs="仿宋"/>
          <w:bCs/>
          <w:szCs w:val="24"/>
        </w:rPr>
      </w:pPr>
      <w:r>
        <w:rPr>
          <w:rFonts w:ascii="仿宋" w:hAnsi="仿宋" w:eastAsia="仿宋" w:cs="仿宋"/>
          <w:bCs/>
          <w:szCs w:val="24"/>
        </w:rPr>
        <w:t>（3）按下HMI或者示教器相关按键，均可实现夹爪可进行张开闭合动作；且HMI端状态指示按钮在快换夹紧状态下亮红灯，反之松开状态下亮绿灯。</w:t>
      </w:r>
    </w:p>
    <w:p w14:paraId="211280F2">
      <w:pPr>
        <w:pStyle w:val="10"/>
        <w:spacing w:line="400" w:lineRule="exact"/>
        <w:ind w:firstLine="480" w:firstLineChars="200"/>
        <w:rPr>
          <w:rFonts w:ascii="仿宋" w:hAnsi="仿宋" w:eastAsia="仿宋" w:cs="仿宋"/>
          <w:bCs/>
          <w:szCs w:val="24"/>
        </w:rPr>
      </w:pPr>
      <w:r>
        <w:rPr>
          <w:rFonts w:ascii="仿宋" w:hAnsi="仿宋" w:eastAsia="仿宋" w:cs="仿宋"/>
          <w:bCs/>
          <w:szCs w:val="24"/>
        </w:rPr>
        <w:t>（4）按下HMI或者示教器相关按键，均可实现吸盘可进行物料吸附松开动作，且HMI端状态指示按钮在快换吸附状态下亮红灯，反之松开状态下亮绿灯。</w:t>
      </w:r>
    </w:p>
    <w:p w14:paraId="5DE975E4">
      <w:pPr>
        <w:pStyle w:val="10"/>
        <w:spacing w:line="400" w:lineRule="exact"/>
        <w:ind w:firstLine="480" w:firstLineChars="200"/>
        <w:rPr>
          <w:rFonts w:ascii="仿宋" w:hAnsi="仿宋" w:eastAsia="仿宋" w:cs="仿宋"/>
          <w:bCs/>
          <w:szCs w:val="24"/>
        </w:rPr>
      </w:pPr>
      <w:r>
        <w:rPr>
          <w:rFonts w:ascii="仿宋" w:hAnsi="仿宋" w:eastAsia="仿宋" w:cs="仿宋"/>
          <w:bCs/>
          <w:szCs w:val="24"/>
        </w:rPr>
        <w:t>（5）按下HMI或者示教器相关按键，均可实现装配模块可进行伸缩固定物料，且HMI端状态指示按钮在气缸伸出状态下亮红灯，反之缩回状态下亮绿灯。</w:t>
      </w:r>
    </w:p>
    <w:p w14:paraId="605C8B96">
      <w:pPr>
        <w:pStyle w:val="10"/>
        <w:spacing w:line="400" w:lineRule="exact"/>
        <w:ind w:firstLine="480" w:firstLineChars="200"/>
        <w:rPr>
          <w:rFonts w:ascii="仿宋" w:hAnsi="仿宋" w:eastAsia="仿宋" w:cs="仿宋"/>
          <w:bCs/>
          <w:szCs w:val="24"/>
        </w:rPr>
      </w:pPr>
      <w:r>
        <w:rPr>
          <w:rFonts w:ascii="仿宋" w:hAnsi="仿宋" w:eastAsia="仿宋" w:cs="仿宋"/>
          <w:bCs/>
          <w:szCs w:val="24"/>
        </w:rPr>
        <w:t>（6）按下HMI或者示教器相关按键，均可实现井式模块可推动物料到达指定位置，且HMI端状态指示按钮在气缸伸出状态下亮红灯，反之缩回状态下绿灯。</w:t>
      </w:r>
    </w:p>
    <w:p w14:paraId="5963D893">
      <w:pPr>
        <w:pStyle w:val="10"/>
        <w:spacing w:line="400" w:lineRule="exact"/>
        <w:ind w:firstLine="480" w:firstLineChars="200"/>
        <w:rPr>
          <w:rFonts w:ascii="仿宋" w:hAnsi="仿宋" w:eastAsia="仿宋" w:cs="仿宋"/>
          <w:bCs/>
          <w:szCs w:val="24"/>
        </w:rPr>
      </w:pPr>
      <w:r>
        <w:rPr>
          <w:rFonts w:ascii="仿宋" w:hAnsi="仿宋" w:eastAsia="仿宋" w:cs="仿宋"/>
          <w:bCs/>
          <w:szCs w:val="24"/>
        </w:rPr>
        <w:t>（7）按下HMI或者示教器相关按键，均可实现转盘可进行转动，且HMI端状态指示按钮在转盘转动状态下亮红灯，反之停止状态下亮绿灯。</w:t>
      </w:r>
    </w:p>
    <w:p w14:paraId="66786C7F">
      <w:pPr>
        <w:pStyle w:val="10"/>
        <w:spacing w:line="400" w:lineRule="exact"/>
        <w:ind w:firstLine="480" w:firstLineChars="200"/>
        <w:rPr>
          <w:rFonts w:ascii="仿宋" w:hAnsi="仿宋" w:eastAsia="仿宋" w:cs="仿宋"/>
          <w:bCs/>
          <w:szCs w:val="24"/>
        </w:rPr>
      </w:pPr>
      <w:r>
        <w:rPr>
          <w:rFonts w:ascii="仿宋" w:hAnsi="仿宋" w:eastAsia="仿宋" w:cs="仿宋"/>
          <w:bCs/>
          <w:szCs w:val="24"/>
        </w:rPr>
        <w:t>（8）传送带由两个传感器检测到物料时开始或停止物料传输，且HMI端状态指示按钮在传送带传输动作时亮红灯，反之停止动作时亮绿灯。</w:t>
      </w:r>
    </w:p>
    <w:p w14:paraId="319517EE">
      <w:pPr>
        <w:pStyle w:val="10"/>
        <w:spacing w:line="400" w:lineRule="exact"/>
        <w:ind w:firstLine="482" w:firstLineChars="200"/>
        <w:rPr>
          <w:rFonts w:ascii="仿宋" w:hAnsi="仿宋" w:eastAsia="仿宋" w:cs="仿宋"/>
          <w:bCs/>
          <w:szCs w:val="24"/>
        </w:rPr>
      </w:pPr>
      <w:r>
        <w:rPr>
          <w:rFonts w:hint="eastAsia" w:ascii="仿宋" w:hAnsi="仿宋" w:eastAsia="仿宋" w:cs="仿宋"/>
          <w:b/>
          <w:bCs w:val="0"/>
          <w:szCs w:val="24"/>
          <w:lang w:val="en-US" w:eastAsia="zh-CN"/>
        </w:rPr>
        <w:t>说明：</w:t>
      </w:r>
      <w:r>
        <w:rPr>
          <w:rFonts w:hint="eastAsia" w:ascii="仿宋" w:hAnsi="仿宋" w:eastAsia="仿宋" w:cs="仿宋"/>
          <w:bCs/>
          <w:szCs w:val="24"/>
          <w:lang w:val="en-US" w:eastAsia="zh-CN"/>
        </w:rPr>
        <w:t>上述功能在同一画面展现，可自由设计，其中提及的状态指示按钮为状态指示和按钮为一体的集成按钮，且状态指示按钮可以同时指示该模块的状态变化（由示教器控制和HMI控制的周边设备状态）和控制该模块的动作，画面颜色、字体不限。</w:t>
      </w:r>
    </w:p>
    <w:p w14:paraId="7BDC98C1">
      <w:pPr>
        <w:pStyle w:val="2"/>
        <w:spacing w:before="0" w:after="0" w:line="500" w:lineRule="exact"/>
        <w:jc w:val="left"/>
        <w:rPr>
          <w:rFonts w:hint="eastAsia" w:ascii="宋体" w:hAnsi="宋体" w:eastAsia="宋体" w:cs="宋体"/>
        </w:rPr>
      </w:pPr>
      <w:r>
        <w:rPr>
          <w:rStyle w:val="15"/>
          <w:rFonts w:hint="eastAsia" w:ascii="宋体" w:hAnsi="宋体" w:eastAsia="宋体" w:cs="宋体"/>
          <w:b/>
          <w:bCs/>
        </w:rPr>
        <w:t>D工业机器人在线编程与监控（</w:t>
      </w:r>
      <w:r>
        <w:rPr>
          <w:rStyle w:val="15"/>
          <w:rFonts w:hint="eastAsia" w:ascii="宋体" w:hAnsi="宋体" w:eastAsia="宋体" w:cs="宋体"/>
          <w:b/>
          <w:bCs/>
          <w:lang w:val="en-US" w:eastAsia="zh-CN"/>
        </w:rPr>
        <w:t>15</w:t>
      </w:r>
      <w:r>
        <w:rPr>
          <w:rStyle w:val="15"/>
          <w:rFonts w:hint="eastAsia" w:ascii="宋体" w:hAnsi="宋体" w:eastAsia="宋体" w:cs="宋体"/>
          <w:b/>
          <w:bCs/>
        </w:rPr>
        <w:t>分）</w:t>
      </w:r>
    </w:p>
    <w:p w14:paraId="58DD12C8">
      <w:pPr>
        <w:pStyle w:val="3"/>
        <w:spacing w:before="0" w:after="0" w:line="400" w:lineRule="exact"/>
        <w:jc w:val="left"/>
        <w:rPr>
          <w:sz w:val="24"/>
        </w:rPr>
      </w:pPr>
      <w:r>
        <w:rPr>
          <w:rFonts w:hint="eastAsia" w:ascii="黑体" w:hAnsi="黑体" w:cs="黑体"/>
          <w:sz w:val="24"/>
        </w:rPr>
        <w:t>D-a在线编程（电机部件装配。）（</w:t>
      </w:r>
      <w:r>
        <w:rPr>
          <w:rFonts w:hint="eastAsia" w:ascii="黑体" w:hAnsi="黑体" w:cs="黑体"/>
          <w:sz w:val="24"/>
          <w:lang w:val="en-US" w:eastAsia="zh-CN"/>
        </w:rPr>
        <w:t>15</w:t>
      </w:r>
      <w:r>
        <w:rPr>
          <w:rFonts w:hint="eastAsia" w:ascii="黑体" w:hAnsi="黑体" w:cs="黑体"/>
          <w:sz w:val="24"/>
        </w:rPr>
        <w:t>分）</w:t>
      </w:r>
    </w:p>
    <w:p w14:paraId="34266770">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利用示教器对实际产线运行进行程序编写，完成以下程序任务。</w:t>
      </w:r>
    </w:p>
    <w:p w14:paraId="405AF2ED">
      <w:pPr>
        <w:spacing w:line="400" w:lineRule="exact"/>
        <w:ind w:firstLine="480" w:firstLineChars="200"/>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电机部件说明</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14:paraId="63AA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Pr>
          <w:p w14:paraId="7C26539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序号</w:t>
            </w:r>
          </w:p>
        </w:tc>
        <w:tc>
          <w:tcPr>
            <w:tcW w:w="1703" w:type="dxa"/>
          </w:tcPr>
          <w:p w14:paraId="6562FFA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图片</w:t>
            </w:r>
          </w:p>
        </w:tc>
        <w:tc>
          <w:tcPr>
            <w:tcW w:w="1704" w:type="dxa"/>
          </w:tcPr>
          <w:p w14:paraId="21F7BF68">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名称</w:t>
            </w:r>
          </w:p>
        </w:tc>
        <w:tc>
          <w:tcPr>
            <w:tcW w:w="1704" w:type="dxa"/>
          </w:tcPr>
          <w:p w14:paraId="3876C2A9">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原有位置</w:t>
            </w:r>
          </w:p>
        </w:tc>
        <w:tc>
          <w:tcPr>
            <w:tcW w:w="1704" w:type="dxa"/>
          </w:tcPr>
          <w:p w14:paraId="3F16AAFB">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最终位置</w:t>
            </w:r>
          </w:p>
        </w:tc>
      </w:tr>
      <w:tr w14:paraId="6777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1399D585">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1</w:t>
            </w:r>
          </w:p>
        </w:tc>
        <w:tc>
          <w:tcPr>
            <w:tcW w:w="1703" w:type="dxa"/>
            <w:vAlign w:val="center"/>
          </w:tcPr>
          <w:p w14:paraId="0FA109E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79120" cy="640080"/>
                  <wp:effectExtent l="0" t="0" r="1905" b="7620"/>
                  <wp:docPr id="4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
                          <pic:cNvPicPr>
                            <a:picLocks noChangeAspect="1"/>
                          </pic:cNvPicPr>
                        </pic:nvPicPr>
                        <pic:blipFill>
                          <a:blip r:embed="rId27"/>
                          <a:stretch>
                            <a:fillRect/>
                          </a:stretch>
                        </pic:blipFill>
                        <pic:spPr>
                          <a:xfrm>
                            <a:off x="0" y="0"/>
                            <a:ext cx="579120" cy="640080"/>
                          </a:xfrm>
                          <a:prstGeom prst="rect">
                            <a:avLst/>
                          </a:prstGeom>
                          <a:noFill/>
                          <a:ln>
                            <a:noFill/>
                          </a:ln>
                        </pic:spPr>
                      </pic:pic>
                    </a:graphicData>
                  </a:graphic>
                </wp:inline>
              </w:drawing>
            </w:r>
          </w:p>
        </w:tc>
        <w:tc>
          <w:tcPr>
            <w:tcW w:w="1704" w:type="dxa"/>
            <w:vAlign w:val="center"/>
          </w:tcPr>
          <w:p w14:paraId="30060B22">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c>
          <w:tcPr>
            <w:tcW w:w="1704" w:type="dxa"/>
            <w:vAlign w:val="center"/>
          </w:tcPr>
          <w:p w14:paraId="72E5E8D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7923A4D3">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r>
      <w:tr w14:paraId="3065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626852FE">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2</w:t>
            </w:r>
          </w:p>
        </w:tc>
        <w:tc>
          <w:tcPr>
            <w:tcW w:w="1703" w:type="dxa"/>
            <w:vAlign w:val="center"/>
          </w:tcPr>
          <w:p w14:paraId="5744D681">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389890" cy="539750"/>
                  <wp:effectExtent l="0" t="0" r="635" b="3175"/>
                  <wp:docPr id="4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2"/>
                          <pic:cNvPicPr>
                            <a:picLocks noChangeAspect="1"/>
                          </pic:cNvPicPr>
                        </pic:nvPicPr>
                        <pic:blipFill>
                          <a:blip r:embed="rId28"/>
                          <a:stretch>
                            <a:fillRect/>
                          </a:stretch>
                        </pic:blipFill>
                        <pic:spPr>
                          <a:xfrm>
                            <a:off x="0" y="0"/>
                            <a:ext cx="389890" cy="539750"/>
                          </a:xfrm>
                          <a:prstGeom prst="rect">
                            <a:avLst/>
                          </a:prstGeom>
                          <a:noFill/>
                          <a:ln>
                            <a:noFill/>
                          </a:ln>
                        </pic:spPr>
                      </pic:pic>
                    </a:graphicData>
                  </a:graphic>
                </wp:inline>
              </w:drawing>
            </w:r>
          </w:p>
        </w:tc>
        <w:tc>
          <w:tcPr>
            <w:tcW w:w="1704" w:type="dxa"/>
            <w:vAlign w:val="center"/>
          </w:tcPr>
          <w:p w14:paraId="06E5F2D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电机转子</w:t>
            </w:r>
          </w:p>
        </w:tc>
        <w:tc>
          <w:tcPr>
            <w:tcW w:w="1704" w:type="dxa"/>
            <w:vAlign w:val="center"/>
          </w:tcPr>
          <w:p w14:paraId="3EA23C75">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70F6353C">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r>
      <w:tr w14:paraId="64DD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344BF60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3</w:t>
            </w:r>
          </w:p>
        </w:tc>
        <w:tc>
          <w:tcPr>
            <w:tcW w:w="1703" w:type="dxa"/>
            <w:vAlign w:val="center"/>
          </w:tcPr>
          <w:p w14:paraId="612B75B7">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52450" cy="319405"/>
                  <wp:effectExtent l="0" t="0" r="0" b="4445"/>
                  <wp:docPr id="43"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3"/>
                          <pic:cNvPicPr>
                            <a:picLocks noChangeAspect="1"/>
                          </pic:cNvPicPr>
                        </pic:nvPicPr>
                        <pic:blipFill>
                          <a:blip r:embed="rId29"/>
                          <a:stretch>
                            <a:fillRect/>
                          </a:stretch>
                        </pic:blipFill>
                        <pic:spPr>
                          <a:xfrm>
                            <a:off x="0" y="0"/>
                            <a:ext cx="552450" cy="319405"/>
                          </a:xfrm>
                          <a:prstGeom prst="rect">
                            <a:avLst/>
                          </a:prstGeom>
                          <a:noFill/>
                          <a:ln>
                            <a:noFill/>
                          </a:ln>
                        </pic:spPr>
                      </pic:pic>
                    </a:graphicData>
                  </a:graphic>
                </wp:inline>
              </w:drawing>
            </w:r>
          </w:p>
        </w:tc>
        <w:tc>
          <w:tcPr>
            <w:tcW w:w="1704" w:type="dxa"/>
            <w:vAlign w:val="center"/>
          </w:tcPr>
          <w:p w14:paraId="5B4FC645">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电机端盖</w:t>
            </w:r>
          </w:p>
        </w:tc>
        <w:tc>
          <w:tcPr>
            <w:tcW w:w="1704" w:type="dxa"/>
            <w:vAlign w:val="center"/>
          </w:tcPr>
          <w:p w14:paraId="1E762846">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35F3CBC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r>
      <w:tr w14:paraId="7C6C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2C1C3F7B">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4</w:t>
            </w:r>
          </w:p>
        </w:tc>
        <w:tc>
          <w:tcPr>
            <w:tcW w:w="1703" w:type="dxa"/>
            <w:vAlign w:val="center"/>
          </w:tcPr>
          <w:p w14:paraId="52BC0B3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11810" cy="610870"/>
                  <wp:effectExtent l="0" t="0" r="2540" b="8255"/>
                  <wp:docPr id="44" name="图片 5" descr="043979ec476767a56487b30f053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043979ec476767a56487b30f0531077"/>
                          <pic:cNvPicPr>
                            <a:picLocks noChangeAspect="1"/>
                          </pic:cNvPicPr>
                        </pic:nvPicPr>
                        <pic:blipFill>
                          <a:blip r:embed="rId30"/>
                          <a:srcRect l="15877" t="9698" r="18317" b="5988"/>
                          <a:stretch>
                            <a:fillRect/>
                          </a:stretch>
                        </pic:blipFill>
                        <pic:spPr>
                          <a:xfrm>
                            <a:off x="0" y="0"/>
                            <a:ext cx="511810" cy="610870"/>
                          </a:xfrm>
                          <a:prstGeom prst="rect">
                            <a:avLst/>
                          </a:prstGeom>
                          <a:noFill/>
                          <a:ln>
                            <a:noFill/>
                          </a:ln>
                        </pic:spPr>
                      </pic:pic>
                    </a:graphicData>
                  </a:graphic>
                </wp:inline>
              </w:drawing>
            </w:r>
          </w:p>
        </w:tc>
        <w:tc>
          <w:tcPr>
            <w:tcW w:w="1704" w:type="dxa"/>
            <w:vAlign w:val="center"/>
          </w:tcPr>
          <w:p w14:paraId="13079D18">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c>
          <w:tcPr>
            <w:tcW w:w="1704" w:type="dxa"/>
            <w:vAlign w:val="center"/>
          </w:tcPr>
          <w:p w14:paraId="26226036">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旋转供料</w:t>
            </w:r>
          </w:p>
        </w:tc>
        <w:tc>
          <w:tcPr>
            <w:tcW w:w="1704" w:type="dxa"/>
            <w:vAlign w:val="center"/>
          </w:tcPr>
          <w:p w14:paraId="0FD1BDD4">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旋转供料</w:t>
            </w:r>
          </w:p>
        </w:tc>
      </w:tr>
      <w:tr w14:paraId="11DF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5C700362">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5</w:t>
            </w:r>
          </w:p>
        </w:tc>
        <w:tc>
          <w:tcPr>
            <w:tcW w:w="1703" w:type="dxa"/>
            <w:vAlign w:val="center"/>
          </w:tcPr>
          <w:p w14:paraId="503EA5D6">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494665" cy="278765"/>
                  <wp:effectExtent l="0" t="0" r="635" b="6985"/>
                  <wp:docPr id="45" name="图片 6" descr="26a351ce8ece5da0e22c57e1171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26a351ce8ece5da0e22c57e11712d1f"/>
                          <pic:cNvPicPr>
                            <a:picLocks noChangeAspect="1"/>
                          </pic:cNvPicPr>
                        </pic:nvPicPr>
                        <pic:blipFill>
                          <a:blip r:embed="rId31"/>
                          <a:stretch>
                            <a:fillRect/>
                          </a:stretch>
                        </pic:blipFill>
                        <pic:spPr>
                          <a:xfrm>
                            <a:off x="0" y="0"/>
                            <a:ext cx="494665" cy="278765"/>
                          </a:xfrm>
                          <a:prstGeom prst="rect">
                            <a:avLst/>
                          </a:prstGeom>
                          <a:noFill/>
                          <a:ln>
                            <a:noFill/>
                          </a:ln>
                        </pic:spPr>
                      </pic:pic>
                    </a:graphicData>
                  </a:graphic>
                </wp:inline>
              </w:drawing>
            </w:r>
          </w:p>
        </w:tc>
        <w:tc>
          <w:tcPr>
            <w:tcW w:w="1704" w:type="dxa"/>
            <w:vAlign w:val="center"/>
          </w:tcPr>
          <w:p w14:paraId="0E6CD76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减速机盖</w:t>
            </w:r>
          </w:p>
        </w:tc>
        <w:tc>
          <w:tcPr>
            <w:tcW w:w="1704" w:type="dxa"/>
            <w:vAlign w:val="center"/>
          </w:tcPr>
          <w:p w14:paraId="0090BAB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井式供料</w:t>
            </w:r>
          </w:p>
        </w:tc>
        <w:tc>
          <w:tcPr>
            <w:tcW w:w="1704" w:type="dxa"/>
            <w:vAlign w:val="center"/>
          </w:tcPr>
          <w:p w14:paraId="4B583468">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r>
    </w:tbl>
    <w:p w14:paraId="3FBA5659">
      <w:pPr>
        <w:pStyle w:val="10"/>
        <w:jc w:val="both"/>
      </w:pPr>
    </w:p>
    <w:p w14:paraId="6A8F5A9D">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1.任务开始前，机器人处于原点位置，机器人法兰未安装任何工具，所有气缸处于初始状态。</w:t>
      </w:r>
    </w:p>
    <w:p w14:paraId="1894216A">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2.任务开始后，将工业机器人切换到“自动模式”，按下示教器程序运行按钮，开始运行，工业机器人将从Home点出发，执行程序，运行过程中速度不得超过200mm/s或20%，中途不得人工干预，且装配过程中安装或更换的工具类型由选手自行判断。</w:t>
      </w:r>
    </w:p>
    <w:p w14:paraId="05D293F6">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3.可以调整搬运顺序，但不能改变物料摆放位置。</w:t>
      </w:r>
    </w:p>
    <w:p w14:paraId="7A82FD89">
      <w:pPr>
        <w:pStyle w:val="2"/>
        <w:spacing w:before="0" w:after="0" w:line="360" w:lineRule="auto"/>
        <w:jc w:val="left"/>
      </w:pPr>
      <w:r>
        <w:rPr>
          <w:rFonts w:hint="eastAsia"/>
        </w:rPr>
        <w:t>E职业素养（</w:t>
      </w:r>
      <w:r>
        <w:rPr>
          <w:rFonts w:hint="eastAsia"/>
          <w:lang w:val="en-US" w:eastAsia="zh-CN"/>
        </w:rPr>
        <w:t>5</w:t>
      </w:r>
      <w:r>
        <w:rPr>
          <w:rFonts w:hint="eastAsia"/>
        </w:rPr>
        <w:t>分）</w:t>
      </w:r>
    </w:p>
    <w:p w14:paraId="0E456151">
      <w:pPr>
        <w:spacing w:line="360" w:lineRule="auto"/>
        <w:jc w:val="left"/>
        <w:rPr>
          <w:rFonts w:ascii="Arial" w:hAnsi="Arial" w:eastAsia="黑体"/>
          <w:b/>
          <w:sz w:val="24"/>
        </w:rPr>
      </w:pPr>
      <w:r>
        <w:rPr>
          <w:rFonts w:hint="eastAsia" w:ascii="Arial" w:hAnsi="Arial" w:eastAsia="黑体"/>
          <w:b/>
          <w:sz w:val="24"/>
        </w:rPr>
        <w:t>E-a优化、安全文明生产（提高生产效率，完成程序优化。）（</w:t>
      </w:r>
      <w:r>
        <w:rPr>
          <w:rFonts w:hint="eastAsia" w:ascii="Arial" w:hAnsi="Arial" w:eastAsia="黑体"/>
          <w:b/>
          <w:sz w:val="24"/>
          <w:lang w:val="en-US" w:eastAsia="zh-CN"/>
        </w:rPr>
        <w:t>5</w:t>
      </w:r>
      <w:r>
        <w:rPr>
          <w:rFonts w:hint="eastAsia" w:ascii="Arial" w:hAnsi="Arial" w:eastAsia="黑体"/>
          <w:b/>
          <w:sz w:val="24"/>
        </w:rPr>
        <w:t>分）</w:t>
      </w:r>
    </w:p>
    <w:p w14:paraId="16B30D50">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1.工具、耗材摆放整齐，无违规绑扎线路、走线、走气等，完成演示后需要将周边设备和机器人复位。</w:t>
      </w:r>
    </w:p>
    <w:p w14:paraId="6E1261F8">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2.佩戴安全帽，着比赛服、穿电工绝缘鞋。</w:t>
      </w:r>
    </w:p>
    <w:p w14:paraId="524551DE">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3.赛位区域地板、桌面等处卫生打扫。</w:t>
      </w:r>
    </w:p>
    <w:p w14:paraId="48628558">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4.违反操作或因操作不当导致设备损坏。</w:t>
      </w:r>
    </w:p>
    <w:p w14:paraId="06A256B1">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5.资料归档完整。</w:t>
      </w:r>
    </w:p>
    <w:p w14:paraId="1CE46FFD">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6.满足设备交付要求（设备交付要求见选手须知）。</w:t>
      </w:r>
    </w:p>
    <w:p w14:paraId="02A8EC6B">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选手做好设备交付准备后（准备工作包括：桌面整齐、工作站整齐、工具使用、电机装配等配件摆放、工具快换摆放，线槽盖盖好，多余耗材放到正确位置，工作站切换至运行模式，机器人开启运行模式等），向裁判申请开始演示。选择一项任务，进行执行演示。机器人自动演示该任务。演示完成不同任务后，可以返回示教模式，退回主界面进行任务切换。再次选择一项任务，自动演示该任务。以此类推，直至所有任务演示结束。</w:t>
      </w:r>
    </w:p>
    <w:p w14:paraId="25827E7E">
      <w:pPr>
        <w:pStyle w:val="10"/>
      </w:pPr>
    </w:p>
    <w:p w14:paraId="1A3B7567">
      <w:pPr>
        <w:pStyle w:val="10"/>
      </w:pPr>
    </w:p>
    <w:p w14:paraId="7613C1CA">
      <w:pPr>
        <w:pStyle w:val="10"/>
        <w:spacing w:line="400" w:lineRule="exact"/>
        <w:rPr>
          <w:rFonts w:ascii="仿宋" w:hAnsi="仿宋" w:eastAsia="仿宋" w:cs="仿宋"/>
          <w:spacing w:val="-2"/>
          <w:sz w:val="28"/>
          <w:szCs w:val="28"/>
        </w:rPr>
      </w:pPr>
    </w:p>
    <w:p w14:paraId="1361B029">
      <w:r>
        <w:br w:type="page"/>
      </w:r>
    </w:p>
    <w:p w14:paraId="2A6D3B6E">
      <w:pPr>
        <w:pStyle w:val="1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CCC303-FCA0-468E-ADF3-60844F7F844A}"/>
  </w:font>
  <w:font w:name="黑体">
    <w:panose1 w:val="02010609060101010101"/>
    <w:charset w:val="86"/>
    <w:family w:val="auto"/>
    <w:pitch w:val="default"/>
    <w:sig w:usb0="800002BF" w:usb1="38CF7CFA" w:usb2="00000016" w:usb3="00000000" w:csb0="00040001" w:csb1="00000000"/>
    <w:embedRegular r:id="rId2" w:fontKey="{9E2865AE-E3D0-46C0-A272-D946E46823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1AFDCAC-EABB-4E7D-B870-0FB43374B72A}"/>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embedRegular r:id="rId4" w:fontKey="{E27A188A-16B2-4C17-BEB2-2FCC633651C4}"/>
  </w:font>
  <w:font w:name="楷体">
    <w:panose1 w:val="02010609060101010101"/>
    <w:charset w:val="86"/>
    <w:family w:val="modern"/>
    <w:pitch w:val="default"/>
    <w:sig w:usb0="800002BF" w:usb1="38CF7CFA" w:usb2="00000016" w:usb3="00000000" w:csb0="00040001" w:csb1="00000000"/>
    <w:embedRegular r:id="rId5" w:fontKey="{FBC27336-CB5E-4501-B7F2-51695B2A8348}"/>
  </w:font>
  <w:font w:name="方正仿宋_GB2312">
    <w:panose1 w:val="02000000000000000000"/>
    <w:charset w:val="86"/>
    <w:family w:val="auto"/>
    <w:pitch w:val="default"/>
    <w:sig w:usb0="A00002BF" w:usb1="184F6CFA" w:usb2="00000012" w:usb3="00000000" w:csb0="00040001" w:csb1="00000000"/>
    <w:embedRegular r:id="rId6" w:fontKey="{E2676714-088B-4403-AE03-DF3B01CD97F7}"/>
  </w:font>
  <w:font w:name="WPSEMBED2">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5F1BA"/>
    <w:multiLevelType w:val="singleLevel"/>
    <w:tmpl w:val="5445F1B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835D8C"/>
    <w:rsid w:val="0147108E"/>
    <w:rsid w:val="09023F99"/>
    <w:rsid w:val="0E213113"/>
    <w:rsid w:val="15323667"/>
    <w:rsid w:val="17E256C1"/>
    <w:rsid w:val="1B9B4505"/>
    <w:rsid w:val="1EFA1543"/>
    <w:rsid w:val="26D46B1D"/>
    <w:rsid w:val="28414C64"/>
    <w:rsid w:val="30835D8C"/>
    <w:rsid w:val="34BF4141"/>
    <w:rsid w:val="3CFB2BFE"/>
    <w:rsid w:val="3F32667F"/>
    <w:rsid w:val="468C2B19"/>
    <w:rsid w:val="47C54534"/>
    <w:rsid w:val="49B06B1E"/>
    <w:rsid w:val="4CA17959"/>
    <w:rsid w:val="5FD501C7"/>
    <w:rsid w:val="613100ED"/>
    <w:rsid w:val="65890F8B"/>
    <w:rsid w:val="69D34437"/>
    <w:rsid w:val="72D82ABE"/>
    <w:rsid w:val="77204A34"/>
    <w:rsid w:val="79040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240" w:firstLine="672"/>
    </w:pPr>
    <w:rPr>
      <w:sz w:val="32"/>
      <w:szCs w:val="32"/>
    </w:rPr>
  </w:style>
  <w:style w:type="paragraph" w:styleId="5">
    <w:name w:val="endnote text"/>
    <w:basedOn w:val="1"/>
    <w:next w:val="4"/>
    <w:qFormat/>
    <w:uiPriority w:val="0"/>
    <w:rPr>
      <w:rFonts w:ascii="Calibri" w:hAnsi="Calibri"/>
    </w:rPr>
  </w:style>
  <w:style w:type="paragraph" w:styleId="6">
    <w:name w:val="Title"/>
    <w:basedOn w:val="1"/>
    <w:qFormat/>
    <w:uiPriority w:val="1"/>
    <w:pPr>
      <w:spacing w:before="1"/>
      <w:ind w:left="4061" w:right="4206"/>
      <w:jc w:val="both"/>
    </w:pPr>
    <w:rPr>
      <w:rFonts w:ascii="Microsoft JhengHei" w:hAnsi="Microsoft JhengHei" w:eastAsia="Microsoft JhengHei" w:cs="Microsoft JhengHei"/>
      <w:b/>
      <w:bCs/>
      <w:sz w:val="60"/>
      <w:szCs w:val="60"/>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11">
    <w:name w:val="样式3"/>
    <w:basedOn w:val="1"/>
    <w:qFormat/>
    <w:uiPriority w:val="0"/>
    <w:pPr>
      <w:spacing w:line="400" w:lineRule="exact"/>
      <w:ind w:left="275" w:leftChars="125" w:right="136" w:rightChars="62" w:firstLine="480" w:firstLineChars="200"/>
      <w:jc w:val="both"/>
    </w:pPr>
    <w:rPr>
      <w:rFonts w:hint="default" w:ascii="Times New Roman" w:hAnsi="Times New Roman" w:eastAsia="宋体" w:cs="宋体"/>
      <w:sz w:val="24"/>
      <w:szCs w:val="24"/>
      <w:lang w:val="zh-CN" w:eastAsia="en-US"/>
    </w:rPr>
  </w:style>
  <w:style w:type="table" w:customStyle="1" w:styleId="12">
    <w:name w:val="TableGrid"/>
    <w:autoRedefine/>
    <w:qFormat/>
    <w:uiPriority w:val="0"/>
    <w:tblPr>
      <w:tblCellMar>
        <w:top w:w="0" w:type="dxa"/>
        <w:left w:w="0" w:type="dxa"/>
        <w:bottom w:w="0" w:type="dxa"/>
        <w:right w:w="0" w:type="dxa"/>
      </w:tblCellMar>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character" w:customStyle="1" w:styleId="15">
    <w:name w:val="标题 1 字符"/>
    <w:basedOn w:val="9"/>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10254</Words>
  <Characters>10699</Characters>
  <Lines>0</Lines>
  <Paragraphs>0</Paragraphs>
  <TotalTime>2</TotalTime>
  <ScaleCrop>false</ScaleCrop>
  <LinksUpToDate>false</LinksUpToDate>
  <CharactersWithSpaces>10761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2026-06-03T01:50:00Z</dcterms:created>
  <dc:creator>乔从</dc:creator>
  <cp:lastModifiedBy>阳光</cp:lastModifiedBy>
  <dcterms:modified xsi:type="dcterms:W3CDTF">2026-06-16T07:46:48Z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56330AE0CF424EFA9687DF4D5680DBE1_13</vt:lpwstr>
  </property>
  <property fmtid="{D5CDD505-2E9C-101B-9397-08002B2CF9AE}" pid="4" name="KSOTemplateDocerSaveRecord">
    <vt:lpwstr>eyJoZGlkIjoiYjQ3MjFkYzlkYTEyNTllMzIwMDYyNWRjMjcyZjlhODYiLCJ1c2VySWQiOiIzMzQxMjg3OTYifQ==</vt:lpwstr>
  </property>
</Properties>
</file>